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B" w:rsidRDefault="00433E82" w:rsidP="00886C53">
      <w:pPr>
        <w:ind w:left="-900"/>
      </w:pPr>
      <w:r>
        <w:rPr>
          <w:noProof/>
        </w:rPr>
        <w:drawing>
          <wp:inline distT="0" distB="0" distL="0" distR="0" wp14:anchorId="6488B7DF" wp14:editId="4FAAAFE8">
            <wp:extent cx="9439275" cy="61055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86C53">
        <w:rPr>
          <w:noProof/>
        </w:rPr>
        <w:lastRenderedPageBreak/>
        <w:drawing>
          <wp:inline distT="0" distB="0" distL="0" distR="0" wp14:anchorId="12EFD082" wp14:editId="3106AA2B">
            <wp:extent cx="9363075" cy="64960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6C53" w:rsidRDefault="00433E82" w:rsidP="00886C53">
      <w:pPr>
        <w:ind w:left="-900"/>
      </w:pPr>
      <w:r>
        <w:rPr>
          <w:noProof/>
        </w:rPr>
        <w:lastRenderedPageBreak/>
        <w:drawing>
          <wp:inline distT="0" distB="0" distL="0" distR="0" wp14:anchorId="318A800B" wp14:editId="21EE80AA">
            <wp:extent cx="9305925" cy="60102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3351" w:type="dxa"/>
        <w:tblLook w:val="04A0" w:firstRow="1" w:lastRow="0" w:firstColumn="1" w:lastColumn="0" w:noHBand="0" w:noVBand="1"/>
      </w:tblPr>
      <w:tblGrid>
        <w:gridCol w:w="2520"/>
        <w:gridCol w:w="725"/>
        <w:gridCol w:w="676"/>
        <w:gridCol w:w="1094"/>
        <w:gridCol w:w="1186"/>
        <w:gridCol w:w="725"/>
        <w:gridCol w:w="676"/>
        <w:gridCol w:w="1094"/>
        <w:gridCol w:w="1186"/>
        <w:gridCol w:w="683"/>
        <w:gridCol w:w="638"/>
        <w:gridCol w:w="1006"/>
        <w:gridCol w:w="1142"/>
      </w:tblGrid>
      <w:tr w:rsidR="00433E82" w:rsidRPr="00433E82" w:rsidTr="00433E82">
        <w:trPr>
          <w:trHeight w:val="375"/>
        </w:trPr>
        <w:tc>
          <w:tcPr>
            <w:tcW w:w="13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ADVANCE Indicator #1: </w:t>
            </w: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and Percent of Women STEM Instructional Faculty by Dept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2013-2015</w:t>
            </w:r>
          </w:p>
        </w:tc>
      </w:tr>
      <w:tr w:rsidR="00433E82" w:rsidRPr="00433E82" w:rsidTr="00433E8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3E82" w:rsidRPr="00433E82" w:rsidTr="00433E82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368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346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2013</w:t>
            </w:r>
          </w:p>
        </w:tc>
      </w:tr>
      <w:tr w:rsidR="00433E82" w:rsidRPr="00433E82" w:rsidTr="00433E82">
        <w:trPr>
          <w:trHeight w:val="67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Department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Men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Women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% Women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Men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Women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% Women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Men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Women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Women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Anthropology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43%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Chemistry and Biochemistry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19%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Civil and Environmental Engineering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11%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Computer Science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14%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Economics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14%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Electrical and Computer Engineering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Geosciences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33%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Life Sciences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29%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Mathematical Sciences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Mechanical Engineering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6%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Philosophy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Physics and Astronomy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10%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Political Science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25%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Psychology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46%</w:t>
            </w:r>
          </w:p>
        </w:tc>
      </w:tr>
      <w:tr w:rsidR="00433E82" w:rsidRPr="00433E82" w:rsidTr="00433E82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Sociology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31%</w:t>
            </w:r>
          </w:p>
        </w:tc>
      </w:tr>
      <w:tr w:rsidR="00433E82" w:rsidRPr="00433E82" w:rsidTr="00433E8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23%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219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82" w:rsidRPr="00433E82" w:rsidRDefault="00433E82" w:rsidP="0043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33E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22%</w:t>
            </w:r>
          </w:p>
        </w:tc>
      </w:tr>
    </w:tbl>
    <w:p w:rsidR="00886C53" w:rsidRDefault="00886C53" w:rsidP="00886C53">
      <w:pPr>
        <w:ind w:left="-900"/>
      </w:pPr>
    </w:p>
    <w:p w:rsidR="00886C53" w:rsidRDefault="00886C53" w:rsidP="00886C53">
      <w:pPr>
        <w:ind w:left="-900"/>
      </w:pPr>
      <w:bookmarkStart w:id="0" w:name="_GoBack"/>
      <w:bookmarkEnd w:id="0"/>
    </w:p>
    <w:sectPr w:rsidR="00886C53" w:rsidSect="00886C53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53"/>
    <w:rsid w:val="00306AEB"/>
    <w:rsid w:val="00433E82"/>
    <w:rsid w:val="008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A21A2-29E5-4B22-A7AE-554C95F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 Indicator</a:t>
            </a:r>
            <a:r>
              <a:rPr lang="en-US" baseline="0"/>
              <a:t> #1: </a:t>
            </a:r>
            <a:r>
              <a:rPr lang="en-US"/>
              <a:t>Number and Percent of Women STEM </a:t>
            </a:r>
            <a:r>
              <a:rPr lang="en-US" sz="1400" b="0" i="0" u="none" strike="noStrike" baseline="0">
                <a:effectLst/>
              </a:rPr>
              <a:t>Instructional </a:t>
            </a:r>
            <a:r>
              <a:rPr lang="en-US"/>
              <a:t>Faculty by Department,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'2015'!$C$1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'2015'!$C$2:$C$16</c:f>
              <c:numCache>
                <c:formatCode>General</c:formatCode>
                <c:ptCount val="15"/>
                <c:pt idx="0">
                  <c:v>8</c:v>
                </c:pt>
                <c:pt idx="1">
                  <c:v>18</c:v>
                </c:pt>
                <c:pt idx="2">
                  <c:v>15</c:v>
                </c:pt>
                <c:pt idx="3">
                  <c:v>15</c:v>
                </c:pt>
                <c:pt idx="4">
                  <c:v>13</c:v>
                </c:pt>
                <c:pt idx="5">
                  <c:v>14</c:v>
                </c:pt>
                <c:pt idx="6">
                  <c:v>13</c:v>
                </c:pt>
                <c:pt idx="7">
                  <c:v>20</c:v>
                </c:pt>
                <c:pt idx="8">
                  <c:v>29</c:v>
                </c:pt>
                <c:pt idx="9">
                  <c:v>15</c:v>
                </c:pt>
                <c:pt idx="10">
                  <c:v>9</c:v>
                </c:pt>
                <c:pt idx="11">
                  <c:v>19</c:v>
                </c:pt>
                <c:pt idx="12">
                  <c:v>13</c:v>
                </c:pt>
                <c:pt idx="13">
                  <c:v>17</c:v>
                </c:pt>
                <c:pt idx="14">
                  <c:v>8</c:v>
                </c:pt>
              </c:numCache>
            </c:numRef>
          </c:val>
        </c:ser>
        <c:ser>
          <c:idx val="2"/>
          <c:order val="1"/>
          <c:tx>
            <c:strRef>
              <c:f>'2015'!$D$1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'2015'!$D$2:$D$16</c:f>
              <c:numCache>
                <c:formatCode>General</c:formatCode>
                <c:ptCount val="15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  <c:pt idx="8">
                  <c:v>7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11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2238096"/>
        <c:axId val="302238656"/>
        <c:axId val="0"/>
      </c:bar3DChart>
      <c:catAx>
        <c:axId val="302238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 i="1"/>
                  <a:t>Prepared by the Office for Faculty Affairs.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238656"/>
        <c:crosses val="autoZero"/>
        <c:auto val="1"/>
        <c:lblAlgn val="ctr"/>
        <c:lblOffset val="100"/>
        <c:noMultiLvlLbl val="0"/>
      </c:catAx>
      <c:valAx>
        <c:axId val="30223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23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</a:t>
            </a:r>
            <a:r>
              <a:rPr lang="en-US" baseline="0"/>
              <a:t> Indicator #1: </a:t>
            </a:r>
            <a:r>
              <a:rPr lang="en-US"/>
              <a:t>Number and Percent of Women STEM </a:t>
            </a:r>
            <a:r>
              <a:rPr lang="en-US" sz="1400" b="0" i="0" u="none" strike="noStrike" baseline="0">
                <a:effectLst/>
              </a:rPr>
              <a:t>Instructional </a:t>
            </a:r>
            <a:r>
              <a:rPr lang="en-US"/>
              <a:t>Faculty by Department,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'2014'!$C$1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'2014'!$C$2:$C$16</c:f>
              <c:numCache>
                <c:formatCode>General</c:formatCode>
                <c:ptCount val="15"/>
                <c:pt idx="0">
                  <c:v>8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13</c:v>
                </c:pt>
                <c:pt idx="5">
                  <c:v>14</c:v>
                </c:pt>
                <c:pt idx="6">
                  <c:v>14</c:v>
                </c:pt>
                <c:pt idx="7">
                  <c:v>20</c:v>
                </c:pt>
                <c:pt idx="8">
                  <c:v>25</c:v>
                </c:pt>
                <c:pt idx="9">
                  <c:v>18</c:v>
                </c:pt>
                <c:pt idx="10">
                  <c:v>9</c:v>
                </c:pt>
                <c:pt idx="11">
                  <c:v>18</c:v>
                </c:pt>
                <c:pt idx="12">
                  <c:v>12</c:v>
                </c:pt>
                <c:pt idx="13">
                  <c:v>15</c:v>
                </c:pt>
                <c:pt idx="14">
                  <c:v>8</c:v>
                </c:pt>
              </c:numCache>
            </c:numRef>
          </c:val>
        </c:ser>
        <c:ser>
          <c:idx val="2"/>
          <c:order val="1"/>
          <c:tx>
            <c:strRef>
              <c:f>'2014'!$D$1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'2014'!$D$2:$D$16</c:f>
              <c:numCache>
                <c:formatCode>General</c:formatCode>
                <c:ptCount val="15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10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198816"/>
        <c:axId val="411199376"/>
        <c:axId val="0"/>
      </c:bar3DChart>
      <c:catAx>
        <c:axId val="411198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 i="1"/>
                  <a:t>Prepared by the Office for Faculty Affairs.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199376"/>
        <c:crosses val="autoZero"/>
        <c:auto val="1"/>
        <c:lblAlgn val="ctr"/>
        <c:lblOffset val="100"/>
        <c:noMultiLvlLbl val="0"/>
      </c:catAx>
      <c:valAx>
        <c:axId val="41119937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1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 Indicator #1: Number and Percent of Women STEM </a:t>
            </a:r>
            <a:r>
              <a:rPr lang="en-US" sz="1400" b="0" i="0" u="none" strike="noStrike" baseline="0">
                <a:effectLst/>
              </a:rPr>
              <a:t>Instructional </a:t>
            </a:r>
            <a:r>
              <a:rPr lang="en-US"/>
              <a:t>Faculty by Department, 2013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'2013'!$C$1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'2013'!$A$2:$A$16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'2013'!$C$2:$C$16</c:f>
              <c:numCache>
                <c:formatCode>General</c:formatCode>
                <c:ptCount val="15"/>
                <c:pt idx="0">
                  <c:v>8</c:v>
                </c:pt>
                <c:pt idx="1">
                  <c:v>22</c:v>
                </c:pt>
                <c:pt idx="2">
                  <c:v>16</c:v>
                </c:pt>
                <c:pt idx="3">
                  <c:v>12</c:v>
                </c:pt>
                <c:pt idx="4">
                  <c:v>12</c:v>
                </c:pt>
                <c:pt idx="5">
                  <c:v>14</c:v>
                </c:pt>
                <c:pt idx="6">
                  <c:v>14</c:v>
                </c:pt>
                <c:pt idx="7">
                  <c:v>20</c:v>
                </c:pt>
                <c:pt idx="8">
                  <c:v>24</c:v>
                </c:pt>
                <c:pt idx="9">
                  <c:v>16</c:v>
                </c:pt>
                <c:pt idx="10">
                  <c:v>9</c:v>
                </c:pt>
                <c:pt idx="11">
                  <c:v>18</c:v>
                </c:pt>
                <c:pt idx="12">
                  <c:v>12</c:v>
                </c:pt>
                <c:pt idx="13">
                  <c:v>13</c:v>
                </c:pt>
                <c:pt idx="14">
                  <c:v>9</c:v>
                </c:pt>
              </c:numCache>
            </c:numRef>
          </c:val>
        </c:ser>
        <c:ser>
          <c:idx val="2"/>
          <c:order val="1"/>
          <c:tx>
            <c:strRef>
              <c:f>'2013'!$D$1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'2013'!$A$2:$A$16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'2013'!$D$2:$D$16</c:f>
              <c:numCache>
                <c:formatCode>General</c:formatCode>
                <c:ptCount val="15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11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93808"/>
        <c:axId val="411094368"/>
        <c:axId val="0"/>
      </c:bar3DChart>
      <c:catAx>
        <c:axId val="411093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 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 i="1"/>
                  <a:t>Prepared</a:t>
                </a:r>
                <a:r>
                  <a:rPr lang="en-US" i="1" baseline="0"/>
                  <a:t> by the Office for Faculty Affairs.</a:t>
                </a:r>
                <a:endParaRPr lang="en-US" i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94368"/>
        <c:crosses val="autoZero"/>
        <c:auto val="1"/>
        <c:lblAlgn val="ctr"/>
        <c:lblOffset val="100"/>
        <c:noMultiLvlLbl val="0"/>
      </c:catAx>
      <c:valAx>
        <c:axId val="411094368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9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0.08774</cdr:x>
      <cdr:y>0.42599</cdr:y>
    </cdr:from>
    <cdr:to>
      <cdr:x>0.13636</cdr:x>
      <cdr:y>0.46053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90575" y="24669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43%</a:t>
          </a:r>
        </a:p>
      </cdr:txBody>
    </cdr:sp>
  </cdr:relSizeAnchor>
  <cdr:relSizeAnchor xmlns:cdr="http://schemas.openxmlformats.org/drawingml/2006/chartDrawing">
    <cdr:from>
      <cdr:x>0.142</cdr:x>
      <cdr:y>0.29825</cdr:y>
    </cdr:from>
    <cdr:to>
      <cdr:x>0.19063</cdr:x>
      <cdr:y>0.33279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79525" y="17272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22%</a:t>
          </a:r>
        </a:p>
      </cdr:txBody>
    </cdr:sp>
  </cdr:relSizeAnchor>
  <cdr:relSizeAnchor xmlns:cdr="http://schemas.openxmlformats.org/drawingml/2006/chartDrawing">
    <cdr:from>
      <cdr:x>0.24877</cdr:x>
      <cdr:y>0.3739</cdr:y>
    </cdr:from>
    <cdr:to>
      <cdr:x>0.29739</cdr:x>
      <cdr:y>0.40844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41550" y="21653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17%</a:t>
          </a:r>
        </a:p>
      </cdr:txBody>
    </cdr:sp>
  </cdr:relSizeAnchor>
  <cdr:relSizeAnchor xmlns:cdr="http://schemas.openxmlformats.org/drawingml/2006/chartDrawing">
    <cdr:from>
      <cdr:x>0.30162</cdr:x>
      <cdr:y>0.41502</cdr:y>
    </cdr:from>
    <cdr:to>
      <cdr:x>0.35025</cdr:x>
      <cdr:y>0.44956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17800" y="24034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0.35553</cdr:x>
      <cdr:y>0.38871</cdr:y>
    </cdr:from>
    <cdr:to>
      <cdr:x>0.40416</cdr:x>
      <cdr:y>0.42325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03575" y="22510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18%</a:t>
          </a:r>
        </a:p>
      </cdr:txBody>
    </cdr:sp>
  </cdr:relSizeAnchor>
  <cdr:relSizeAnchor xmlns:cdr="http://schemas.openxmlformats.org/drawingml/2006/chartDrawing">
    <cdr:from>
      <cdr:x>0.4105</cdr:x>
      <cdr:y>0.3739</cdr:y>
    </cdr:from>
    <cdr:to>
      <cdr:x>0.45913</cdr:x>
      <cdr:y>0.40844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698875" y="21653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28%</a:t>
          </a:r>
        </a:p>
      </cdr:txBody>
    </cdr:sp>
  </cdr:relSizeAnchor>
  <cdr:relSizeAnchor xmlns:cdr="http://schemas.openxmlformats.org/drawingml/2006/chartDrawing">
    <cdr:from>
      <cdr:x>0.46335</cdr:x>
      <cdr:y>0.22752</cdr:y>
    </cdr:from>
    <cdr:to>
      <cdr:x>0.51198</cdr:x>
      <cdr:y>0.26206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75125" y="131762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0.51832</cdr:x>
      <cdr:y>0.10746</cdr:y>
    </cdr:from>
    <cdr:to>
      <cdr:x>0.56695</cdr:x>
      <cdr:y>0.142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70425" y="6223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19%</a:t>
          </a:r>
        </a:p>
      </cdr:txBody>
    </cdr:sp>
  </cdr:relSizeAnchor>
  <cdr:relSizeAnchor xmlns:cdr="http://schemas.openxmlformats.org/drawingml/2006/chartDrawing">
    <cdr:from>
      <cdr:x>0.57223</cdr:x>
      <cdr:y>0.38706</cdr:y>
    </cdr:from>
    <cdr:to>
      <cdr:x>0.62086</cdr:x>
      <cdr:y>0.4216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56200" y="22415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  <cdr:relSizeAnchor xmlns:cdr="http://schemas.openxmlformats.org/drawingml/2006/chartDrawing">
    <cdr:from>
      <cdr:x>0.62716</cdr:x>
      <cdr:y>0.47188</cdr:y>
    </cdr:from>
    <cdr:to>
      <cdr:x>0.67578</cdr:x>
      <cdr:y>0.50641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919927" y="2881071"/>
          <a:ext cx="458938" cy="210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10%</a:t>
          </a:r>
        </a:p>
      </cdr:txBody>
    </cdr:sp>
  </cdr:relSizeAnchor>
  <cdr:relSizeAnchor xmlns:cdr="http://schemas.openxmlformats.org/drawingml/2006/chartDrawing">
    <cdr:from>
      <cdr:x>0.67794</cdr:x>
      <cdr:y>0.3114</cdr:y>
    </cdr:from>
    <cdr:to>
      <cdr:x>0.72657</cdr:x>
      <cdr:y>0.34594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08700" y="18034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14%</a:t>
          </a:r>
        </a:p>
      </cdr:txBody>
    </cdr:sp>
  </cdr:relSizeAnchor>
  <cdr:relSizeAnchor xmlns:cdr="http://schemas.openxmlformats.org/drawingml/2006/chartDrawing">
    <cdr:from>
      <cdr:x>0.73291</cdr:x>
      <cdr:y>0.38542</cdr:y>
    </cdr:from>
    <cdr:to>
      <cdr:x>0.78154</cdr:x>
      <cdr:y>0.41996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604000" y="223202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24%</a:t>
          </a:r>
        </a:p>
      </cdr:txBody>
    </cdr:sp>
  </cdr:relSizeAnchor>
  <cdr:relSizeAnchor xmlns:cdr="http://schemas.openxmlformats.org/drawingml/2006/chartDrawing">
    <cdr:from>
      <cdr:x>0.78682</cdr:x>
      <cdr:y>0.22588</cdr:y>
    </cdr:from>
    <cdr:to>
      <cdr:x>0.83545</cdr:x>
      <cdr:y>0.26042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9775" y="13081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39%</a:t>
          </a:r>
        </a:p>
      </cdr:txBody>
    </cdr:sp>
  </cdr:relSizeAnchor>
  <cdr:relSizeAnchor xmlns:cdr="http://schemas.openxmlformats.org/drawingml/2006/chartDrawing">
    <cdr:from>
      <cdr:x>0.83968</cdr:x>
      <cdr:y>0.42982</cdr:y>
    </cdr:from>
    <cdr:to>
      <cdr:x>0.8883</cdr:x>
      <cdr:y>0.46436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66025" y="24892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43%</a:t>
          </a:r>
        </a:p>
      </cdr:txBody>
    </cdr:sp>
  </cdr:relSizeAnchor>
  <cdr:relSizeAnchor xmlns:cdr="http://schemas.openxmlformats.org/drawingml/2006/chartDrawing">
    <cdr:from>
      <cdr:x>0.19486</cdr:x>
      <cdr:y>0.38048</cdr:y>
    </cdr:from>
    <cdr:to>
      <cdr:x>0.24348</cdr:x>
      <cdr:y>0.41502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55775" y="22034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0.08774</cdr:x>
      <cdr:y>0.40546</cdr:y>
    </cdr:from>
    <cdr:to>
      <cdr:x>0.13636</cdr:x>
      <cdr:y>0.44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21516" y="2633902"/>
          <a:ext cx="455233" cy="224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38%</a:t>
          </a:r>
        </a:p>
      </cdr:txBody>
    </cdr:sp>
  </cdr:relSizeAnchor>
  <cdr:relSizeAnchor xmlns:cdr="http://schemas.openxmlformats.org/drawingml/2006/chartDrawing">
    <cdr:from>
      <cdr:x>0.14306</cdr:x>
      <cdr:y>0.21437</cdr:y>
    </cdr:from>
    <cdr:to>
      <cdr:x>0.19169</cdr:x>
      <cdr:y>0.24891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89037" y="1241450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24%</a:t>
          </a:r>
        </a:p>
      </cdr:txBody>
    </cdr:sp>
  </cdr:relSizeAnchor>
  <cdr:relSizeAnchor xmlns:cdr="http://schemas.openxmlformats.org/drawingml/2006/chartDrawing">
    <cdr:from>
      <cdr:x>0.24877</cdr:x>
      <cdr:y>0.3739</cdr:y>
    </cdr:from>
    <cdr:to>
      <cdr:x>0.29739</cdr:x>
      <cdr:y>0.40844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41550" y="21653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0.30373</cdr:x>
      <cdr:y>0.38213</cdr:y>
    </cdr:from>
    <cdr:to>
      <cdr:x>0.35236</cdr:x>
      <cdr:y>0.41667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36842" y="221296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0.35659</cdr:x>
      <cdr:y>0.35417</cdr:y>
    </cdr:from>
    <cdr:to>
      <cdr:x>0.40522</cdr:x>
      <cdr:y>0.38871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13081" y="205107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18%</a:t>
          </a:r>
        </a:p>
      </cdr:txBody>
    </cdr:sp>
  </cdr:relSizeAnchor>
  <cdr:relSizeAnchor xmlns:cdr="http://schemas.openxmlformats.org/drawingml/2006/chartDrawing">
    <cdr:from>
      <cdr:x>0.40944</cdr:x>
      <cdr:y>0.26699</cdr:y>
    </cdr:from>
    <cdr:to>
      <cdr:x>0.45807</cdr:x>
      <cdr:y>0.30153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689347" y="1546205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36%</a:t>
          </a:r>
        </a:p>
      </cdr:txBody>
    </cdr:sp>
  </cdr:relSizeAnchor>
  <cdr:relSizeAnchor xmlns:cdr="http://schemas.openxmlformats.org/drawingml/2006/chartDrawing">
    <cdr:from>
      <cdr:x>0.46229</cdr:x>
      <cdr:y>0.16502</cdr:y>
    </cdr:from>
    <cdr:to>
      <cdr:x>0.51092</cdr:x>
      <cdr:y>0.19956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65560" y="95566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0.51832</cdr:x>
      <cdr:y>0.08772</cdr:y>
    </cdr:from>
    <cdr:to>
      <cdr:x>0.56695</cdr:x>
      <cdr:y>0.12226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70400" y="50802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22%</a:t>
          </a:r>
        </a:p>
      </cdr:txBody>
    </cdr:sp>
  </cdr:relSizeAnchor>
  <cdr:relSizeAnchor xmlns:cdr="http://schemas.openxmlformats.org/drawingml/2006/chartDrawing">
    <cdr:from>
      <cdr:x>0.57117</cdr:x>
      <cdr:y>0.3114</cdr:y>
    </cdr:from>
    <cdr:to>
      <cdr:x>0.6198</cdr:x>
      <cdr:y>0.34594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46639" y="180339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5%</a:t>
          </a:r>
        </a:p>
      </cdr:txBody>
    </cdr:sp>
  </cdr:relSizeAnchor>
  <cdr:relSizeAnchor xmlns:cdr="http://schemas.openxmlformats.org/drawingml/2006/chartDrawing">
    <cdr:from>
      <cdr:x>0.62615</cdr:x>
      <cdr:y>0.45006</cdr:y>
    </cdr:from>
    <cdr:to>
      <cdr:x>0.67477</cdr:x>
      <cdr:y>0.48459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862689" y="2923643"/>
          <a:ext cx="455233" cy="224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10%</a:t>
          </a:r>
        </a:p>
      </cdr:txBody>
    </cdr:sp>
  </cdr:relSizeAnchor>
  <cdr:relSizeAnchor xmlns:cdr="http://schemas.openxmlformats.org/drawingml/2006/chartDrawing">
    <cdr:from>
      <cdr:x>0.67794</cdr:x>
      <cdr:y>0.29441</cdr:y>
    </cdr:from>
    <cdr:to>
      <cdr:x>0.72657</cdr:x>
      <cdr:y>0.34594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08680" y="1704975"/>
          <a:ext cx="438188" cy="29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10%</a:t>
          </a:r>
        </a:p>
      </cdr:txBody>
    </cdr:sp>
  </cdr:relSizeAnchor>
  <cdr:relSizeAnchor xmlns:cdr="http://schemas.openxmlformats.org/drawingml/2006/chartDrawing">
    <cdr:from>
      <cdr:x>0.73185</cdr:x>
      <cdr:y>0.36404</cdr:y>
    </cdr:from>
    <cdr:to>
      <cdr:x>0.78048</cdr:x>
      <cdr:y>0.39858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594470" y="2108219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0.78682</cdr:x>
      <cdr:y>0.21766</cdr:y>
    </cdr:from>
    <cdr:to>
      <cdr:x>0.83545</cdr:x>
      <cdr:y>0.2522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9760" y="1260491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40%</a:t>
          </a:r>
        </a:p>
      </cdr:txBody>
    </cdr:sp>
  </cdr:relSizeAnchor>
  <cdr:relSizeAnchor xmlns:cdr="http://schemas.openxmlformats.org/drawingml/2006/chartDrawing">
    <cdr:from>
      <cdr:x>0.84074</cdr:x>
      <cdr:y>0.40021</cdr:y>
    </cdr:from>
    <cdr:to>
      <cdr:x>0.88936</cdr:x>
      <cdr:y>0.43475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75588" y="2317724"/>
          <a:ext cx="438097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43%</a:t>
          </a:r>
        </a:p>
      </cdr:txBody>
    </cdr:sp>
  </cdr:relSizeAnchor>
  <cdr:relSizeAnchor xmlns:cdr="http://schemas.openxmlformats.org/drawingml/2006/chartDrawing">
    <cdr:from>
      <cdr:x>0.19486</cdr:x>
      <cdr:y>0.32949</cdr:y>
    </cdr:from>
    <cdr:to>
      <cdr:x>0.24348</cdr:x>
      <cdr:y>0.36403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55815" y="1908161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11%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0.08668</cdr:x>
      <cdr:y>0.39145</cdr:y>
    </cdr:from>
    <cdr:to>
      <cdr:x>0.1353</cdr:x>
      <cdr:y>0.44408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81069" y="2266950"/>
          <a:ext cx="438098" cy="304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43%</a:t>
          </a:r>
        </a:p>
      </cdr:txBody>
    </cdr:sp>
  </cdr:relSizeAnchor>
  <cdr:relSizeAnchor xmlns:cdr="http://schemas.openxmlformats.org/drawingml/2006/chartDrawing">
    <cdr:from>
      <cdr:x>0.14306</cdr:x>
      <cdr:y>0.18148</cdr:y>
    </cdr:from>
    <cdr:to>
      <cdr:x>0.19169</cdr:x>
      <cdr:y>0.21602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89064" y="1050960"/>
          <a:ext cx="438187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19%</a:t>
          </a:r>
        </a:p>
      </cdr:txBody>
    </cdr:sp>
  </cdr:relSizeAnchor>
  <cdr:relSizeAnchor xmlns:cdr="http://schemas.openxmlformats.org/drawingml/2006/chartDrawing">
    <cdr:from>
      <cdr:x>0.24983</cdr:x>
      <cdr:y>0.39364</cdr:y>
    </cdr:from>
    <cdr:to>
      <cdr:x>0.29845</cdr:x>
      <cdr:y>0.42818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51104" y="2279630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14%</a:t>
          </a:r>
        </a:p>
      </cdr:txBody>
    </cdr:sp>
  </cdr:relSizeAnchor>
  <cdr:relSizeAnchor xmlns:cdr="http://schemas.openxmlformats.org/drawingml/2006/chartDrawing">
    <cdr:from>
      <cdr:x>0.30373</cdr:x>
      <cdr:y>0.38213</cdr:y>
    </cdr:from>
    <cdr:to>
      <cdr:x>0.35236</cdr:x>
      <cdr:y>0.41667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36842" y="221296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14%</a:t>
          </a:r>
        </a:p>
      </cdr:txBody>
    </cdr:sp>
  </cdr:relSizeAnchor>
  <cdr:relSizeAnchor xmlns:cdr="http://schemas.openxmlformats.org/drawingml/2006/chartDrawing">
    <cdr:from>
      <cdr:x>0.35659</cdr:x>
      <cdr:y>0.35417</cdr:y>
    </cdr:from>
    <cdr:to>
      <cdr:x>0.40522</cdr:x>
      <cdr:y>0.38871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13081" y="205107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0.40944</cdr:x>
      <cdr:y>0.26699</cdr:y>
    </cdr:from>
    <cdr:to>
      <cdr:x>0.45807</cdr:x>
      <cdr:y>0.30153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689347" y="1546205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33%</a:t>
          </a:r>
        </a:p>
      </cdr:txBody>
    </cdr:sp>
  </cdr:relSizeAnchor>
  <cdr:relSizeAnchor xmlns:cdr="http://schemas.openxmlformats.org/drawingml/2006/chartDrawing">
    <cdr:from>
      <cdr:x>0.46229</cdr:x>
      <cdr:y>0.16502</cdr:y>
    </cdr:from>
    <cdr:to>
      <cdr:x>0.51092</cdr:x>
      <cdr:y>0.19956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65560" y="95566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0.52043</cdr:x>
      <cdr:y>0.12226</cdr:y>
    </cdr:from>
    <cdr:to>
      <cdr:x>0.56906</cdr:x>
      <cdr:y>0.1568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89450" y="708029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20%</a:t>
          </a:r>
        </a:p>
      </cdr:txBody>
    </cdr:sp>
  </cdr:relSizeAnchor>
  <cdr:relSizeAnchor xmlns:cdr="http://schemas.openxmlformats.org/drawingml/2006/chartDrawing">
    <cdr:from>
      <cdr:x>0.5754</cdr:x>
      <cdr:y>0.34429</cdr:y>
    </cdr:from>
    <cdr:to>
      <cdr:x>0.62403</cdr:x>
      <cdr:y>0.37883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84713" y="1993880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6%</a:t>
          </a:r>
        </a:p>
      </cdr:txBody>
    </cdr:sp>
  </cdr:relSizeAnchor>
  <cdr:relSizeAnchor xmlns:cdr="http://schemas.openxmlformats.org/drawingml/2006/chartDrawing">
    <cdr:from>
      <cdr:x>0.62615</cdr:x>
      <cdr:y>0.44547</cdr:y>
    </cdr:from>
    <cdr:to>
      <cdr:x>0.67477</cdr:x>
      <cdr:y>0.48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826905" y="2677415"/>
          <a:ext cx="452454" cy="207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10%</a:t>
          </a:r>
        </a:p>
      </cdr:txBody>
    </cdr:sp>
  </cdr:relSizeAnchor>
  <cdr:relSizeAnchor xmlns:cdr="http://schemas.openxmlformats.org/drawingml/2006/chartDrawing">
    <cdr:from>
      <cdr:x>0.67794</cdr:x>
      <cdr:y>0.29441</cdr:y>
    </cdr:from>
    <cdr:to>
      <cdr:x>0.72657</cdr:x>
      <cdr:y>0.34594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08680" y="1704975"/>
          <a:ext cx="438188" cy="29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10%</a:t>
          </a:r>
        </a:p>
      </cdr:txBody>
    </cdr:sp>
  </cdr:relSizeAnchor>
  <cdr:relSizeAnchor xmlns:cdr="http://schemas.openxmlformats.org/drawingml/2006/chartDrawing">
    <cdr:from>
      <cdr:x>0.73185</cdr:x>
      <cdr:y>0.36404</cdr:y>
    </cdr:from>
    <cdr:to>
      <cdr:x>0.78048</cdr:x>
      <cdr:y>0.39858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594470" y="2108219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0.78682</cdr:x>
      <cdr:y>0.21766</cdr:y>
    </cdr:from>
    <cdr:to>
      <cdr:x>0.83545</cdr:x>
      <cdr:y>0.2522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9760" y="1260491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46%</a:t>
          </a:r>
        </a:p>
      </cdr:txBody>
    </cdr:sp>
  </cdr:relSizeAnchor>
  <cdr:relSizeAnchor xmlns:cdr="http://schemas.openxmlformats.org/drawingml/2006/chartDrawing">
    <cdr:from>
      <cdr:x>0.84074</cdr:x>
      <cdr:y>0.40021</cdr:y>
    </cdr:from>
    <cdr:to>
      <cdr:x>0.88936</cdr:x>
      <cdr:y>0.43475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75588" y="2317724"/>
          <a:ext cx="438097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31%</a:t>
          </a:r>
        </a:p>
      </cdr:txBody>
    </cdr:sp>
  </cdr:relSizeAnchor>
  <cdr:relSizeAnchor xmlns:cdr="http://schemas.openxmlformats.org/drawingml/2006/chartDrawing">
    <cdr:from>
      <cdr:x>0.19486</cdr:x>
      <cdr:y>0.32949</cdr:y>
    </cdr:from>
    <cdr:to>
      <cdr:x>0.24348</cdr:x>
      <cdr:y>0.36403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55815" y="1908161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Kendricks</dc:creator>
  <cp:keywords/>
  <dc:description/>
  <cp:lastModifiedBy>Kimberly Kendricks</cp:lastModifiedBy>
  <cp:revision>2</cp:revision>
  <dcterms:created xsi:type="dcterms:W3CDTF">2017-11-17T18:25:00Z</dcterms:created>
  <dcterms:modified xsi:type="dcterms:W3CDTF">2017-11-17T18:25:00Z</dcterms:modified>
</cp:coreProperties>
</file>