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D766" w14:textId="7C4418F2" w:rsidR="00C07929" w:rsidRDefault="008E1E8A" w:rsidP="00505078">
      <w:pPr>
        <w:pStyle w:val="Heading1"/>
      </w:pPr>
      <w:r>
        <w:t>M</w:t>
      </w:r>
      <w:r w:rsidR="00674A07">
        <w:t xml:space="preserve">S </w:t>
      </w:r>
      <w:r w:rsidR="00E1399B">
        <w:t>Data Analytics</w:t>
      </w:r>
      <w:r w:rsidR="00674A07">
        <w:t xml:space="preserve"> Worksheet</w:t>
      </w:r>
    </w:p>
    <w:p w14:paraId="750B9D53" w14:textId="3405D83B" w:rsidR="00E1399B" w:rsidRPr="00E1399B" w:rsidRDefault="00E1399B" w:rsidP="00E1399B">
      <w:r w:rsidRPr="00E1399B">
        <w:t>The M.S. in Data Analytics equips students with technical skills that are used by professional data scientists for data analysis, visualization, predictions, and discoveries. The program covers applications in many industries and specialties such as health care, hospitality, social sciences, engineering, business, and government.</w:t>
      </w:r>
    </w:p>
    <w:p w14:paraId="63124549" w14:textId="6D44AE8D" w:rsidR="00A96BA9" w:rsidRDefault="00A96BA9" w:rsidP="008E1E8A"/>
    <w:p w14:paraId="3CE6A3E0" w14:textId="7729A56F" w:rsidR="00121601" w:rsidRDefault="00121601" w:rsidP="008E1E8A"/>
    <w:p w14:paraId="13BC8418" w14:textId="69E48AF3" w:rsidR="00121601" w:rsidRDefault="00121601" w:rsidP="008E1E8A">
      <w:pPr>
        <w:rPr>
          <w:b/>
        </w:rPr>
      </w:pPr>
      <w:r w:rsidRPr="00121601">
        <w:rPr>
          <w:b/>
        </w:rPr>
        <w:t>Suggested Course</w:t>
      </w:r>
      <w:r>
        <w:rPr>
          <w:b/>
        </w:rPr>
        <w:t xml:space="preserve"> P</w:t>
      </w:r>
      <w:r w:rsidRPr="00121601">
        <w:rPr>
          <w:b/>
        </w:rPr>
        <w:t>lan</w:t>
      </w:r>
    </w:p>
    <w:tbl>
      <w:tblPr>
        <w:tblStyle w:val="TableGrid"/>
        <w:tblW w:w="0" w:type="auto"/>
        <w:tblLook w:val="04A0" w:firstRow="1" w:lastRow="0" w:firstColumn="1" w:lastColumn="0" w:noHBand="0" w:noVBand="1"/>
      </w:tblPr>
      <w:tblGrid>
        <w:gridCol w:w="2330"/>
        <w:gridCol w:w="2340"/>
        <w:gridCol w:w="2340"/>
        <w:gridCol w:w="2340"/>
      </w:tblGrid>
      <w:tr w:rsidR="00121601" w14:paraId="3ACDECB9" w14:textId="77777777" w:rsidTr="00121601">
        <w:tc>
          <w:tcPr>
            <w:tcW w:w="2394" w:type="dxa"/>
          </w:tcPr>
          <w:p w14:paraId="2841FC7A" w14:textId="1022CD4E" w:rsidR="00121601" w:rsidRPr="00121601" w:rsidRDefault="00121601" w:rsidP="008E1E8A">
            <w:pPr>
              <w:rPr>
                <w:b/>
                <w:sz w:val="20"/>
                <w:szCs w:val="20"/>
              </w:rPr>
            </w:pPr>
            <w:r w:rsidRPr="00121601">
              <w:rPr>
                <w:b/>
                <w:sz w:val="20"/>
                <w:szCs w:val="20"/>
              </w:rPr>
              <w:t>Fall—Year One</w:t>
            </w:r>
          </w:p>
        </w:tc>
        <w:tc>
          <w:tcPr>
            <w:tcW w:w="2394" w:type="dxa"/>
          </w:tcPr>
          <w:p w14:paraId="067F8B8C" w14:textId="6397583F" w:rsidR="00121601" w:rsidRPr="00121601" w:rsidRDefault="00121601" w:rsidP="008E1E8A">
            <w:pPr>
              <w:rPr>
                <w:b/>
                <w:sz w:val="20"/>
                <w:szCs w:val="20"/>
              </w:rPr>
            </w:pPr>
            <w:r>
              <w:rPr>
                <w:b/>
                <w:sz w:val="20"/>
                <w:szCs w:val="20"/>
              </w:rPr>
              <w:t>Spring—Year One</w:t>
            </w:r>
          </w:p>
        </w:tc>
        <w:tc>
          <w:tcPr>
            <w:tcW w:w="2394" w:type="dxa"/>
          </w:tcPr>
          <w:p w14:paraId="66192850" w14:textId="430151AB" w:rsidR="00121601" w:rsidRPr="00121601" w:rsidRDefault="00121601" w:rsidP="008E1E8A">
            <w:pPr>
              <w:rPr>
                <w:b/>
                <w:sz w:val="20"/>
                <w:szCs w:val="20"/>
              </w:rPr>
            </w:pPr>
            <w:r w:rsidRPr="00121601">
              <w:rPr>
                <w:b/>
                <w:sz w:val="20"/>
                <w:szCs w:val="20"/>
              </w:rPr>
              <w:t xml:space="preserve">Fall—Year </w:t>
            </w:r>
            <w:r>
              <w:rPr>
                <w:b/>
                <w:sz w:val="20"/>
                <w:szCs w:val="20"/>
              </w:rPr>
              <w:t>Two</w:t>
            </w:r>
          </w:p>
        </w:tc>
        <w:tc>
          <w:tcPr>
            <w:tcW w:w="2394" w:type="dxa"/>
          </w:tcPr>
          <w:p w14:paraId="6E2C7694" w14:textId="7784E785" w:rsidR="00121601" w:rsidRPr="00121601" w:rsidRDefault="00121601" w:rsidP="008E1E8A">
            <w:pPr>
              <w:rPr>
                <w:b/>
                <w:sz w:val="20"/>
                <w:szCs w:val="20"/>
              </w:rPr>
            </w:pPr>
            <w:r>
              <w:rPr>
                <w:b/>
                <w:sz w:val="20"/>
                <w:szCs w:val="20"/>
              </w:rPr>
              <w:t>Spring—Year Two</w:t>
            </w:r>
          </w:p>
        </w:tc>
      </w:tr>
      <w:tr w:rsidR="00121601" w14:paraId="5825DC59" w14:textId="77777777" w:rsidTr="00121601">
        <w:tc>
          <w:tcPr>
            <w:tcW w:w="2394" w:type="dxa"/>
          </w:tcPr>
          <w:p w14:paraId="08FF50D9" w14:textId="5DAB324B" w:rsidR="00121601" w:rsidRPr="00121601" w:rsidRDefault="00E1399B" w:rsidP="008E1E8A">
            <w:pPr>
              <w:rPr>
                <w:sz w:val="20"/>
                <w:szCs w:val="20"/>
              </w:rPr>
            </w:pPr>
            <w:r>
              <w:rPr>
                <w:sz w:val="20"/>
                <w:szCs w:val="20"/>
              </w:rPr>
              <w:t>DA 621</w:t>
            </w:r>
          </w:p>
        </w:tc>
        <w:tc>
          <w:tcPr>
            <w:tcW w:w="2394" w:type="dxa"/>
          </w:tcPr>
          <w:p w14:paraId="45CD4DED" w14:textId="01DFD24A" w:rsidR="00121601" w:rsidRPr="00121601" w:rsidRDefault="00AB2205" w:rsidP="008E1E8A">
            <w:pPr>
              <w:rPr>
                <w:sz w:val="20"/>
                <w:szCs w:val="20"/>
              </w:rPr>
            </w:pPr>
            <w:r>
              <w:rPr>
                <w:sz w:val="20"/>
                <w:szCs w:val="20"/>
              </w:rPr>
              <w:t>DA 622</w:t>
            </w:r>
          </w:p>
        </w:tc>
        <w:tc>
          <w:tcPr>
            <w:tcW w:w="2394" w:type="dxa"/>
          </w:tcPr>
          <w:p w14:paraId="703366AB" w14:textId="55E3627B" w:rsidR="00121601" w:rsidRPr="00121601" w:rsidRDefault="00AB2205" w:rsidP="008E1E8A">
            <w:pPr>
              <w:rPr>
                <w:sz w:val="20"/>
                <w:szCs w:val="20"/>
              </w:rPr>
            </w:pPr>
            <w:r>
              <w:rPr>
                <w:sz w:val="20"/>
                <w:szCs w:val="20"/>
              </w:rPr>
              <w:t>DA 651</w:t>
            </w:r>
          </w:p>
        </w:tc>
        <w:tc>
          <w:tcPr>
            <w:tcW w:w="2394" w:type="dxa"/>
          </w:tcPr>
          <w:p w14:paraId="7EF6ABB3" w14:textId="41C7CF7D" w:rsidR="00121601" w:rsidRPr="00121601" w:rsidRDefault="00AB2205" w:rsidP="008E1E8A">
            <w:pPr>
              <w:rPr>
                <w:sz w:val="20"/>
                <w:szCs w:val="20"/>
              </w:rPr>
            </w:pPr>
            <w:r>
              <w:rPr>
                <w:sz w:val="20"/>
                <w:szCs w:val="20"/>
              </w:rPr>
              <w:t>DA 790</w:t>
            </w:r>
          </w:p>
        </w:tc>
      </w:tr>
      <w:tr w:rsidR="00121601" w14:paraId="67771050" w14:textId="77777777" w:rsidTr="00121601">
        <w:tc>
          <w:tcPr>
            <w:tcW w:w="2394" w:type="dxa"/>
          </w:tcPr>
          <w:p w14:paraId="3F8338F2" w14:textId="1AED7DD6" w:rsidR="00121601" w:rsidRPr="00121601" w:rsidRDefault="00AB2205" w:rsidP="008E1E8A">
            <w:pPr>
              <w:rPr>
                <w:sz w:val="20"/>
                <w:szCs w:val="20"/>
              </w:rPr>
            </w:pPr>
            <w:r>
              <w:rPr>
                <w:sz w:val="20"/>
                <w:szCs w:val="20"/>
              </w:rPr>
              <w:t>MIS 761</w:t>
            </w:r>
          </w:p>
        </w:tc>
        <w:tc>
          <w:tcPr>
            <w:tcW w:w="2394" w:type="dxa"/>
          </w:tcPr>
          <w:p w14:paraId="282C63FF" w14:textId="215BD818" w:rsidR="00121601" w:rsidRPr="00121601" w:rsidRDefault="00AB2205" w:rsidP="008E1E8A">
            <w:pPr>
              <w:rPr>
                <w:sz w:val="20"/>
                <w:szCs w:val="20"/>
              </w:rPr>
            </w:pPr>
            <w:r>
              <w:rPr>
                <w:sz w:val="20"/>
                <w:szCs w:val="20"/>
              </w:rPr>
              <w:t>MIS 769</w:t>
            </w:r>
          </w:p>
        </w:tc>
        <w:tc>
          <w:tcPr>
            <w:tcW w:w="2394" w:type="dxa"/>
          </w:tcPr>
          <w:p w14:paraId="4A04FD6F" w14:textId="5ADDD068" w:rsidR="00121601" w:rsidRPr="00121601" w:rsidRDefault="00AB2205" w:rsidP="008E1E8A">
            <w:pPr>
              <w:rPr>
                <w:sz w:val="20"/>
                <w:szCs w:val="20"/>
              </w:rPr>
            </w:pPr>
            <w:r>
              <w:rPr>
                <w:sz w:val="20"/>
                <w:szCs w:val="20"/>
              </w:rPr>
              <w:t>MIS 776</w:t>
            </w:r>
          </w:p>
        </w:tc>
        <w:tc>
          <w:tcPr>
            <w:tcW w:w="2394" w:type="dxa"/>
          </w:tcPr>
          <w:p w14:paraId="3C7B7653" w14:textId="01382CF8" w:rsidR="00121601" w:rsidRPr="00AB2205" w:rsidRDefault="00AB2205" w:rsidP="008E1E8A">
            <w:pPr>
              <w:rPr>
                <w:bCs/>
                <w:sz w:val="20"/>
                <w:szCs w:val="20"/>
              </w:rPr>
            </w:pPr>
            <w:r w:rsidRPr="00AB2205">
              <w:rPr>
                <w:bCs/>
                <w:sz w:val="20"/>
                <w:szCs w:val="20"/>
              </w:rPr>
              <w:t>Electives</w:t>
            </w:r>
            <w:r>
              <w:rPr>
                <w:bCs/>
                <w:sz w:val="20"/>
                <w:szCs w:val="20"/>
              </w:rPr>
              <w:t xml:space="preserve"> </w:t>
            </w:r>
          </w:p>
        </w:tc>
      </w:tr>
      <w:tr w:rsidR="00121601" w14:paraId="7673ECB7" w14:textId="77777777" w:rsidTr="00121601">
        <w:tc>
          <w:tcPr>
            <w:tcW w:w="2394" w:type="dxa"/>
          </w:tcPr>
          <w:p w14:paraId="5DB9B5D0" w14:textId="51A5A28A" w:rsidR="00121601" w:rsidRPr="00121601" w:rsidRDefault="00AB2205" w:rsidP="008E1E8A">
            <w:pPr>
              <w:rPr>
                <w:sz w:val="20"/>
                <w:szCs w:val="20"/>
              </w:rPr>
            </w:pPr>
            <w:r>
              <w:rPr>
                <w:sz w:val="20"/>
                <w:szCs w:val="20"/>
              </w:rPr>
              <w:t>STA 691</w:t>
            </w:r>
          </w:p>
        </w:tc>
        <w:tc>
          <w:tcPr>
            <w:tcW w:w="2394" w:type="dxa"/>
          </w:tcPr>
          <w:p w14:paraId="3880C3DB" w14:textId="5073DE0D" w:rsidR="00121601" w:rsidRPr="00AB2205" w:rsidRDefault="00AB2205" w:rsidP="008E1E8A">
            <w:pPr>
              <w:rPr>
                <w:bCs/>
                <w:sz w:val="20"/>
                <w:szCs w:val="20"/>
              </w:rPr>
            </w:pPr>
            <w:r w:rsidRPr="00AB2205">
              <w:rPr>
                <w:bCs/>
                <w:sz w:val="20"/>
                <w:szCs w:val="20"/>
              </w:rPr>
              <w:t>STA 692</w:t>
            </w:r>
          </w:p>
        </w:tc>
        <w:tc>
          <w:tcPr>
            <w:tcW w:w="2394" w:type="dxa"/>
          </w:tcPr>
          <w:p w14:paraId="3EE6737D" w14:textId="432F08B1" w:rsidR="00121601" w:rsidRPr="00121601" w:rsidRDefault="00AB2205" w:rsidP="008E1E8A">
            <w:pPr>
              <w:rPr>
                <w:sz w:val="20"/>
                <w:szCs w:val="20"/>
              </w:rPr>
            </w:pPr>
            <w:r>
              <w:rPr>
                <w:sz w:val="20"/>
                <w:szCs w:val="20"/>
              </w:rPr>
              <w:t>Electives</w:t>
            </w:r>
          </w:p>
        </w:tc>
        <w:tc>
          <w:tcPr>
            <w:tcW w:w="2394" w:type="dxa"/>
          </w:tcPr>
          <w:p w14:paraId="29E94E77" w14:textId="1A69F74C" w:rsidR="00121601" w:rsidRPr="00AB2205" w:rsidRDefault="00AB2205" w:rsidP="008E1E8A">
            <w:pPr>
              <w:rPr>
                <w:bCs/>
                <w:sz w:val="20"/>
                <w:szCs w:val="20"/>
              </w:rPr>
            </w:pPr>
            <w:r w:rsidRPr="00AB2205">
              <w:rPr>
                <w:bCs/>
                <w:sz w:val="20"/>
                <w:szCs w:val="20"/>
              </w:rPr>
              <w:t>Electives</w:t>
            </w:r>
          </w:p>
        </w:tc>
      </w:tr>
    </w:tbl>
    <w:p w14:paraId="7FB36F54" w14:textId="77777777" w:rsidR="00121601" w:rsidRPr="00121601" w:rsidRDefault="00121601" w:rsidP="008E1E8A">
      <w:pPr>
        <w:rPr>
          <w:b/>
        </w:rPr>
      </w:pPr>
    </w:p>
    <w:p w14:paraId="1A453A8D" w14:textId="77777777" w:rsidR="00674A07" w:rsidRDefault="00674A07"/>
    <w:p w14:paraId="7905518C" w14:textId="7EF21346" w:rsidR="000F6074" w:rsidRPr="0034317C" w:rsidRDefault="00A7347D" w:rsidP="00A7347D">
      <w:pPr>
        <w:rPr>
          <w:b/>
        </w:rPr>
      </w:pPr>
      <w:r>
        <w:rPr>
          <w:b/>
        </w:rPr>
        <w:t xml:space="preserve">Required </w:t>
      </w:r>
      <w:r w:rsidR="00750286">
        <w:rPr>
          <w:b/>
        </w:rPr>
        <w:t>Courses—</w:t>
      </w:r>
      <w:r w:rsidR="004E6C69">
        <w:rPr>
          <w:b/>
        </w:rPr>
        <w:t>2</w:t>
      </w:r>
      <w:r w:rsidR="009F62A7">
        <w:rPr>
          <w:b/>
        </w:rPr>
        <w:t>7</w:t>
      </w:r>
      <w:r w:rsidR="00750286">
        <w:rPr>
          <w:b/>
        </w:rPr>
        <w:t xml:space="preserve"> Credits</w:t>
      </w:r>
    </w:p>
    <w:tbl>
      <w:tblPr>
        <w:tblStyle w:val="TableGrid"/>
        <w:tblW w:w="0" w:type="auto"/>
        <w:tblLook w:val="04A0" w:firstRow="1" w:lastRow="0" w:firstColumn="1" w:lastColumn="0" w:noHBand="0" w:noVBand="1"/>
      </w:tblPr>
      <w:tblGrid>
        <w:gridCol w:w="1241"/>
        <w:gridCol w:w="2467"/>
        <w:gridCol w:w="4567"/>
        <w:gridCol w:w="990"/>
      </w:tblGrid>
      <w:tr w:rsidR="0019487D" w:rsidRPr="00E45FD9" w14:paraId="5EF8C722" w14:textId="77777777" w:rsidTr="001C2302">
        <w:tc>
          <w:tcPr>
            <w:tcW w:w="1241" w:type="dxa"/>
          </w:tcPr>
          <w:p w14:paraId="024C2235" w14:textId="77777777" w:rsidR="00A7347D" w:rsidRPr="00E45FD9" w:rsidRDefault="00A7347D" w:rsidP="004E6C69">
            <w:pPr>
              <w:rPr>
                <w:b/>
                <w:sz w:val="20"/>
                <w:szCs w:val="20"/>
              </w:rPr>
            </w:pPr>
            <w:r w:rsidRPr="00E45FD9">
              <w:rPr>
                <w:b/>
                <w:sz w:val="20"/>
                <w:szCs w:val="20"/>
              </w:rPr>
              <w:t>Course #</w:t>
            </w:r>
          </w:p>
        </w:tc>
        <w:tc>
          <w:tcPr>
            <w:tcW w:w="2467" w:type="dxa"/>
          </w:tcPr>
          <w:p w14:paraId="3DC8F37E" w14:textId="77777777" w:rsidR="00A7347D" w:rsidRPr="00E45FD9" w:rsidRDefault="00A7347D" w:rsidP="004E6C69">
            <w:pPr>
              <w:rPr>
                <w:b/>
                <w:sz w:val="20"/>
                <w:szCs w:val="20"/>
              </w:rPr>
            </w:pPr>
            <w:r w:rsidRPr="00E45FD9">
              <w:rPr>
                <w:b/>
                <w:sz w:val="20"/>
                <w:szCs w:val="20"/>
              </w:rPr>
              <w:t>Course Title</w:t>
            </w:r>
          </w:p>
        </w:tc>
        <w:tc>
          <w:tcPr>
            <w:tcW w:w="4567" w:type="dxa"/>
          </w:tcPr>
          <w:p w14:paraId="6131F101" w14:textId="77777777" w:rsidR="00A7347D" w:rsidRPr="00E45FD9" w:rsidRDefault="00A7347D" w:rsidP="004E6C69">
            <w:pPr>
              <w:rPr>
                <w:b/>
                <w:sz w:val="20"/>
                <w:szCs w:val="20"/>
              </w:rPr>
            </w:pPr>
            <w:r w:rsidRPr="00E45FD9">
              <w:rPr>
                <w:b/>
                <w:sz w:val="20"/>
                <w:szCs w:val="20"/>
              </w:rPr>
              <w:t xml:space="preserve">Description </w:t>
            </w:r>
          </w:p>
        </w:tc>
        <w:tc>
          <w:tcPr>
            <w:tcW w:w="990" w:type="dxa"/>
          </w:tcPr>
          <w:p w14:paraId="53F7A81A" w14:textId="77777777" w:rsidR="00A7347D" w:rsidRPr="00E45FD9" w:rsidRDefault="00A7347D" w:rsidP="004E6C69">
            <w:pPr>
              <w:rPr>
                <w:b/>
                <w:sz w:val="20"/>
                <w:szCs w:val="20"/>
              </w:rPr>
            </w:pPr>
            <w:r w:rsidRPr="00E45FD9">
              <w:rPr>
                <w:b/>
                <w:sz w:val="20"/>
                <w:szCs w:val="20"/>
              </w:rPr>
              <w:t>Credits</w:t>
            </w:r>
          </w:p>
        </w:tc>
      </w:tr>
      <w:tr w:rsidR="00DA22C1" w:rsidRPr="00E45FD9" w14:paraId="3BE7392E" w14:textId="77777777" w:rsidTr="001C2302">
        <w:tc>
          <w:tcPr>
            <w:tcW w:w="1241" w:type="dxa"/>
          </w:tcPr>
          <w:p w14:paraId="1A7EDF94" w14:textId="3CC71EF8" w:rsidR="00DA22C1" w:rsidRPr="00E45FD9" w:rsidRDefault="00AB2205" w:rsidP="004E6C69">
            <w:pPr>
              <w:rPr>
                <w:sz w:val="20"/>
                <w:szCs w:val="20"/>
              </w:rPr>
            </w:pPr>
            <w:r>
              <w:rPr>
                <w:sz w:val="20"/>
                <w:szCs w:val="20"/>
              </w:rPr>
              <w:t>DA 621</w:t>
            </w:r>
          </w:p>
        </w:tc>
        <w:tc>
          <w:tcPr>
            <w:tcW w:w="2467" w:type="dxa"/>
          </w:tcPr>
          <w:p w14:paraId="1053E166" w14:textId="54E11664" w:rsidR="00DA22C1" w:rsidRPr="00E45FD9" w:rsidRDefault="007C1597" w:rsidP="004E6C69">
            <w:pPr>
              <w:rPr>
                <w:sz w:val="20"/>
                <w:szCs w:val="20"/>
              </w:rPr>
            </w:pPr>
            <w:r>
              <w:rPr>
                <w:sz w:val="20"/>
                <w:szCs w:val="20"/>
              </w:rPr>
              <w:t>Programming for Data Analytics I</w:t>
            </w:r>
          </w:p>
        </w:tc>
        <w:tc>
          <w:tcPr>
            <w:tcW w:w="4567" w:type="dxa"/>
          </w:tcPr>
          <w:p w14:paraId="1D0781BD" w14:textId="150F502D" w:rsidR="00BE1D18" w:rsidRPr="00E90CCF" w:rsidRDefault="00BE1D18" w:rsidP="00BE1D18">
            <w:pPr>
              <w:autoSpaceDE w:val="0"/>
              <w:autoSpaceDN w:val="0"/>
              <w:adjustRightInd w:val="0"/>
              <w:rPr>
                <w:rFonts w:cs="CMSS10"/>
                <w:sz w:val="20"/>
                <w:szCs w:val="20"/>
              </w:rPr>
            </w:pPr>
            <w:r w:rsidRPr="00E90CCF">
              <w:rPr>
                <w:rFonts w:cs="CMSS10"/>
                <w:sz w:val="20"/>
                <w:szCs w:val="20"/>
              </w:rPr>
              <w:t>Program design, coding, debugging, and</w:t>
            </w:r>
            <w:r w:rsidR="00E90CCF">
              <w:rPr>
                <w:rFonts w:cs="CMSS10"/>
                <w:sz w:val="20"/>
                <w:szCs w:val="20"/>
              </w:rPr>
              <w:t xml:space="preserve"> </w:t>
            </w:r>
            <w:r w:rsidRPr="00E90CCF">
              <w:rPr>
                <w:rFonts w:cs="CMSS10"/>
                <w:sz w:val="20"/>
                <w:szCs w:val="20"/>
              </w:rPr>
              <w:t>documentation using techniques of good programming style in the Python</w:t>
            </w:r>
          </w:p>
          <w:p w14:paraId="7CFAB51B" w14:textId="7DBA9EE2" w:rsidR="00DA22C1" w:rsidRPr="00E90CCF" w:rsidRDefault="00BE1D18" w:rsidP="00E90CCF">
            <w:pPr>
              <w:autoSpaceDE w:val="0"/>
              <w:autoSpaceDN w:val="0"/>
              <w:adjustRightInd w:val="0"/>
              <w:rPr>
                <w:rFonts w:cs="CMSS10"/>
                <w:sz w:val="20"/>
                <w:szCs w:val="20"/>
              </w:rPr>
            </w:pPr>
            <w:r w:rsidRPr="00E90CCF">
              <w:rPr>
                <w:rFonts w:cs="CMSS10"/>
                <w:sz w:val="20"/>
                <w:szCs w:val="20"/>
              </w:rPr>
              <w:t>programming language. Students will learn programming with the goal of eventually being able to use popular machine</w:t>
            </w:r>
            <w:r w:rsidR="00E90CCF">
              <w:rPr>
                <w:rFonts w:cs="CMSS10"/>
                <w:sz w:val="20"/>
                <w:szCs w:val="20"/>
              </w:rPr>
              <w:t xml:space="preserve"> </w:t>
            </w:r>
            <w:r w:rsidRPr="00E90CCF">
              <w:rPr>
                <w:rFonts w:cs="CMSS10"/>
                <w:sz w:val="20"/>
                <w:szCs w:val="20"/>
              </w:rPr>
              <w:t xml:space="preserve">learning libraries that are used extensively in the </w:t>
            </w:r>
            <w:r w:rsidR="00E90CCF">
              <w:rPr>
                <w:rFonts w:cs="CMSS10"/>
                <w:sz w:val="20"/>
                <w:szCs w:val="20"/>
              </w:rPr>
              <w:t>fi</w:t>
            </w:r>
            <w:r w:rsidRPr="00E90CCF">
              <w:rPr>
                <w:rFonts w:cs="CMSS10"/>
                <w:sz w:val="20"/>
                <w:szCs w:val="20"/>
              </w:rPr>
              <w:t xml:space="preserve">eld of data analytics as whole. </w:t>
            </w:r>
          </w:p>
        </w:tc>
        <w:tc>
          <w:tcPr>
            <w:tcW w:w="990" w:type="dxa"/>
          </w:tcPr>
          <w:p w14:paraId="3902CFB6" w14:textId="1CF0FBC9" w:rsidR="00DA22C1" w:rsidRPr="00E45FD9" w:rsidRDefault="0067671A" w:rsidP="004E6C69">
            <w:pPr>
              <w:rPr>
                <w:sz w:val="20"/>
                <w:szCs w:val="20"/>
              </w:rPr>
            </w:pPr>
            <w:r>
              <w:rPr>
                <w:sz w:val="20"/>
                <w:szCs w:val="20"/>
              </w:rPr>
              <w:t>3</w:t>
            </w:r>
          </w:p>
        </w:tc>
      </w:tr>
      <w:tr w:rsidR="00110F33" w:rsidRPr="00E45FD9" w14:paraId="2CD29A64" w14:textId="77777777" w:rsidTr="001C2302">
        <w:tc>
          <w:tcPr>
            <w:tcW w:w="1241" w:type="dxa"/>
          </w:tcPr>
          <w:p w14:paraId="67BAF674" w14:textId="730381C5" w:rsidR="00110F33" w:rsidRDefault="00AB2205" w:rsidP="004E6C69">
            <w:pPr>
              <w:rPr>
                <w:sz w:val="20"/>
                <w:szCs w:val="20"/>
              </w:rPr>
            </w:pPr>
            <w:r>
              <w:rPr>
                <w:sz w:val="20"/>
                <w:szCs w:val="20"/>
              </w:rPr>
              <w:t>DA 622</w:t>
            </w:r>
          </w:p>
        </w:tc>
        <w:tc>
          <w:tcPr>
            <w:tcW w:w="2467" w:type="dxa"/>
          </w:tcPr>
          <w:p w14:paraId="0A8DA1B3" w14:textId="5AFFE16C" w:rsidR="00110F33" w:rsidRDefault="007C1597" w:rsidP="004E6C69">
            <w:pPr>
              <w:rPr>
                <w:sz w:val="20"/>
                <w:szCs w:val="20"/>
              </w:rPr>
            </w:pPr>
            <w:r>
              <w:rPr>
                <w:sz w:val="20"/>
                <w:szCs w:val="20"/>
              </w:rPr>
              <w:t>Programming for Data Analytics II</w:t>
            </w:r>
          </w:p>
        </w:tc>
        <w:tc>
          <w:tcPr>
            <w:tcW w:w="4567" w:type="dxa"/>
          </w:tcPr>
          <w:p w14:paraId="2AE00105" w14:textId="57CA462B" w:rsidR="0098703E" w:rsidRPr="0098703E" w:rsidRDefault="0098703E" w:rsidP="0098703E">
            <w:pPr>
              <w:autoSpaceDE w:val="0"/>
              <w:autoSpaceDN w:val="0"/>
              <w:adjustRightInd w:val="0"/>
              <w:rPr>
                <w:rFonts w:cs="CMSS10"/>
                <w:sz w:val="20"/>
                <w:szCs w:val="20"/>
              </w:rPr>
            </w:pPr>
            <w:r w:rsidRPr="0098703E">
              <w:rPr>
                <w:rFonts w:cs="CMSS10"/>
                <w:sz w:val="20"/>
                <w:szCs w:val="20"/>
              </w:rPr>
              <w:t>This course provides a broad introduction to techniques used in data analytics by building on the foundations given</w:t>
            </w:r>
            <w:r>
              <w:rPr>
                <w:rFonts w:cs="CMSS10"/>
                <w:sz w:val="20"/>
                <w:szCs w:val="20"/>
              </w:rPr>
              <w:t xml:space="preserve"> </w:t>
            </w:r>
            <w:r w:rsidRPr="0098703E">
              <w:rPr>
                <w:rFonts w:cs="CMSS10"/>
                <w:sz w:val="20"/>
                <w:szCs w:val="20"/>
              </w:rPr>
              <w:t xml:space="preserve">in </w:t>
            </w:r>
            <w:r w:rsidRPr="0098703E">
              <w:rPr>
                <w:rFonts w:cs="CMSS10"/>
                <w:sz w:val="20"/>
                <w:szCs w:val="20"/>
              </w:rPr>
              <w:t>DA 621</w:t>
            </w:r>
            <w:r w:rsidRPr="0098703E">
              <w:rPr>
                <w:rFonts w:cs="CMSS10"/>
                <w:sz w:val="20"/>
                <w:szCs w:val="20"/>
              </w:rPr>
              <w:t>.</w:t>
            </w:r>
            <w:r>
              <w:rPr>
                <w:rFonts w:cs="CMSS10"/>
                <w:sz w:val="20"/>
                <w:szCs w:val="20"/>
              </w:rPr>
              <w:t xml:space="preserve"> </w:t>
            </w:r>
            <w:r w:rsidRPr="0098703E">
              <w:rPr>
                <w:rFonts w:cs="CMSS10"/>
                <w:sz w:val="20"/>
                <w:szCs w:val="20"/>
              </w:rPr>
              <w:t>Topics include</w:t>
            </w:r>
            <w:r w:rsidR="00D0738E">
              <w:rPr>
                <w:rFonts w:cs="CMSS10"/>
                <w:sz w:val="20"/>
                <w:szCs w:val="20"/>
              </w:rPr>
              <w:t xml:space="preserve"> </w:t>
            </w:r>
            <w:r w:rsidRPr="0098703E">
              <w:rPr>
                <w:rFonts w:cs="CMSS10"/>
                <w:sz w:val="20"/>
                <w:szCs w:val="20"/>
              </w:rPr>
              <w:t>supervised learning such as linear regression, binary classi</w:t>
            </w:r>
            <w:r>
              <w:rPr>
                <w:rFonts w:cs="CMSS10"/>
                <w:sz w:val="20"/>
                <w:szCs w:val="20"/>
              </w:rPr>
              <w:t>fi</w:t>
            </w:r>
            <w:r w:rsidRPr="0098703E">
              <w:rPr>
                <w:rFonts w:cs="CMSS10"/>
                <w:sz w:val="20"/>
                <w:szCs w:val="20"/>
              </w:rPr>
              <w:t>cation, support vector machines, neural</w:t>
            </w:r>
          </w:p>
          <w:p w14:paraId="6E93F8D3" w14:textId="77777777" w:rsidR="0098703E" w:rsidRPr="0098703E" w:rsidRDefault="0098703E" w:rsidP="0098703E">
            <w:pPr>
              <w:autoSpaceDE w:val="0"/>
              <w:autoSpaceDN w:val="0"/>
              <w:adjustRightInd w:val="0"/>
              <w:rPr>
                <w:rFonts w:cs="CMSS10"/>
                <w:sz w:val="20"/>
                <w:szCs w:val="20"/>
              </w:rPr>
            </w:pPr>
            <w:r w:rsidRPr="0098703E">
              <w:rPr>
                <w:rFonts w:cs="CMSS10"/>
                <w:sz w:val="20"/>
                <w:szCs w:val="20"/>
              </w:rPr>
              <w:t>networks, deep learning, and unsupervised learning such as clustering and dimensionality reduction.</w:t>
            </w:r>
          </w:p>
          <w:p w14:paraId="76811688" w14:textId="7B80738F" w:rsidR="00110F33" w:rsidRPr="0098703E" w:rsidRDefault="0098703E" w:rsidP="0098703E">
            <w:pPr>
              <w:autoSpaceDE w:val="0"/>
              <w:autoSpaceDN w:val="0"/>
              <w:adjustRightInd w:val="0"/>
              <w:rPr>
                <w:rFonts w:cs="CMSS10"/>
                <w:sz w:val="20"/>
                <w:szCs w:val="20"/>
              </w:rPr>
            </w:pPr>
            <w:r w:rsidRPr="0098703E">
              <w:rPr>
                <w:rFonts w:cs="CMSS10"/>
                <w:sz w:val="20"/>
                <w:szCs w:val="20"/>
              </w:rPr>
              <w:t>The course focuses on the practical application of these tools and discusses recent applications of data analytics with</w:t>
            </w:r>
            <w:r>
              <w:rPr>
                <w:rFonts w:cs="CMSS10"/>
                <w:sz w:val="20"/>
                <w:szCs w:val="20"/>
              </w:rPr>
              <w:t xml:space="preserve"> </w:t>
            </w:r>
            <w:r w:rsidRPr="0098703E">
              <w:rPr>
                <w:rFonts w:cs="CMSS10"/>
                <w:sz w:val="20"/>
                <w:szCs w:val="20"/>
              </w:rPr>
              <w:t xml:space="preserve">a focus on business, health, bioinformatics, OCR, </w:t>
            </w:r>
            <w:proofErr w:type="gramStart"/>
            <w:r w:rsidRPr="0098703E">
              <w:rPr>
                <w:rFonts w:cs="CMSS10"/>
                <w:sz w:val="20"/>
                <w:szCs w:val="20"/>
              </w:rPr>
              <w:t>text</w:t>
            </w:r>
            <w:proofErr w:type="gramEnd"/>
            <w:r w:rsidRPr="0098703E">
              <w:rPr>
                <w:rFonts w:cs="CMSS10"/>
                <w:sz w:val="20"/>
                <w:szCs w:val="20"/>
              </w:rPr>
              <w:t xml:space="preserve"> and web data processing. </w:t>
            </w:r>
          </w:p>
        </w:tc>
        <w:tc>
          <w:tcPr>
            <w:tcW w:w="990" w:type="dxa"/>
          </w:tcPr>
          <w:p w14:paraId="514A5CB0" w14:textId="644F8E47" w:rsidR="00110F33" w:rsidRDefault="00110F33" w:rsidP="004E6C69">
            <w:pPr>
              <w:rPr>
                <w:sz w:val="20"/>
                <w:szCs w:val="20"/>
              </w:rPr>
            </w:pPr>
            <w:r>
              <w:rPr>
                <w:sz w:val="20"/>
                <w:szCs w:val="20"/>
              </w:rPr>
              <w:t>3</w:t>
            </w:r>
          </w:p>
        </w:tc>
      </w:tr>
      <w:tr w:rsidR="00F503AD" w:rsidRPr="00E45FD9" w14:paraId="7FEF4751" w14:textId="77777777" w:rsidTr="001C2302">
        <w:tc>
          <w:tcPr>
            <w:tcW w:w="1241" w:type="dxa"/>
          </w:tcPr>
          <w:p w14:paraId="558F6A01" w14:textId="18D285E2" w:rsidR="00F503AD" w:rsidRPr="00E45FD9" w:rsidRDefault="00AB7CCF" w:rsidP="004E6C69">
            <w:pPr>
              <w:rPr>
                <w:sz w:val="20"/>
                <w:szCs w:val="20"/>
              </w:rPr>
            </w:pPr>
            <w:r>
              <w:rPr>
                <w:sz w:val="20"/>
                <w:szCs w:val="20"/>
              </w:rPr>
              <w:t>DA 651</w:t>
            </w:r>
          </w:p>
        </w:tc>
        <w:tc>
          <w:tcPr>
            <w:tcW w:w="2467" w:type="dxa"/>
          </w:tcPr>
          <w:p w14:paraId="79E2886B" w14:textId="17E1AB73" w:rsidR="00F503AD" w:rsidRPr="0011071E" w:rsidRDefault="007C1597" w:rsidP="004E6C69">
            <w:pPr>
              <w:rPr>
                <w:sz w:val="20"/>
                <w:szCs w:val="20"/>
              </w:rPr>
            </w:pPr>
            <w:r w:rsidRPr="0011071E">
              <w:rPr>
                <w:noProof/>
                <w:sz w:val="20"/>
                <w:szCs w:val="20"/>
              </w:rPr>
              <w:t>Managing Big Data and Web Databases</w:t>
            </w:r>
          </w:p>
        </w:tc>
        <w:tc>
          <w:tcPr>
            <w:tcW w:w="4567" w:type="dxa"/>
          </w:tcPr>
          <w:p w14:paraId="02986BD5" w14:textId="25D5A040" w:rsidR="00F503AD" w:rsidRPr="00FE16D3" w:rsidRDefault="00FE16D3" w:rsidP="004E6C69">
            <w:pPr>
              <w:rPr>
                <w:sz w:val="20"/>
                <w:szCs w:val="20"/>
              </w:rPr>
            </w:pPr>
            <w:r w:rsidRPr="00FE16D3">
              <w:rPr>
                <w:sz w:val="20"/>
                <w:szCs w:val="20"/>
              </w:rPr>
              <w:t>This course will teach the concepts and techniques of databases for real-time web and big data applications. The course will focus primarily on NoSQL, object oriented, and XML databases.  Topics include characteristics and significance of NoSQL databases, NoSQL data formats, key and value pairs, basic schema in NoSQL, and table structures and data types.</w:t>
            </w:r>
          </w:p>
        </w:tc>
        <w:tc>
          <w:tcPr>
            <w:tcW w:w="990" w:type="dxa"/>
          </w:tcPr>
          <w:p w14:paraId="2C6D80B4" w14:textId="358A2BCF" w:rsidR="00F503AD" w:rsidRPr="00E45FD9" w:rsidRDefault="00F503AD" w:rsidP="004E6C69">
            <w:pPr>
              <w:rPr>
                <w:sz w:val="20"/>
                <w:szCs w:val="20"/>
              </w:rPr>
            </w:pPr>
            <w:r w:rsidRPr="00E45FD9">
              <w:rPr>
                <w:sz w:val="20"/>
                <w:szCs w:val="20"/>
              </w:rPr>
              <w:t>3</w:t>
            </w:r>
          </w:p>
        </w:tc>
      </w:tr>
      <w:tr w:rsidR="00F503AD" w:rsidRPr="00E45FD9" w14:paraId="67D789C6" w14:textId="77777777" w:rsidTr="001C2302">
        <w:tc>
          <w:tcPr>
            <w:tcW w:w="1241" w:type="dxa"/>
          </w:tcPr>
          <w:p w14:paraId="08FC4D74" w14:textId="474D85F1" w:rsidR="00F503AD" w:rsidRPr="00E45FD9" w:rsidRDefault="00AB7CCF" w:rsidP="004E6C69">
            <w:pPr>
              <w:rPr>
                <w:sz w:val="20"/>
                <w:szCs w:val="20"/>
              </w:rPr>
            </w:pPr>
            <w:r>
              <w:rPr>
                <w:sz w:val="20"/>
                <w:szCs w:val="20"/>
              </w:rPr>
              <w:t>DA 790</w:t>
            </w:r>
          </w:p>
        </w:tc>
        <w:tc>
          <w:tcPr>
            <w:tcW w:w="2467" w:type="dxa"/>
          </w:tcPr>
          <w:p w14:paraId="52341668" w14:textId="599CD34C" w:rsidR="00F503AD" w:rsidRPr="00E45FD9" w:rsidRDefault="00F503AD" w:rsidP="004E6C69">
            <w:pPr>
              <w:rPr>
                <w:sz w:val="20"/>
                <w:szCs w:val="20"/>
              </w:rPr>
            </w:pPr>
          </w:p>
        </w:tc>
        <w:tc>
          <w:tcPr>
            <w:tcW w:w="4567" w:type="dxa"/>
          </w:tcPr>
          <w:p w14:paraId="334C879F" w14:textId="7A9C22D5" w:rsidR="00F503AD" w:rsidRPr="00A52705" w:rsidRDefault="00A52705" w:rsidP="00374610">
            <w:pPr>
              <w:rPr>
                <w:sz w:val="20"/>
                <w:szCs w:val="20"/>
              </w:rPr>
            </w:pPr>
            <w:r w:rsidRPr="00A52705">
              <w:rPr>
                <w:sz w:val="20"/>
                <w:szCs w:val="20"/>
              </w:rPr>
              <w:t xml:space="preserve">The course will provide the student with an understanding of core concepts in data analytics by building a specific application.  The goal is to utilize the various methodologies and techniques to identify a data set upon which students can design a scheme, </w:t>
            </w:r>
            <w:r w:rsidRPr="00A52705">
              <w:rPr>
                <w:sz w:val="20"/>
                <w:szCs w:val="20"/>
              </w:rPr>
              <w:lastRenderedPageBreak/>
              <w:t>store the data, run experiments, and communicate their findings.</w:t>
            </w:r>
          </w:p>
        </w:tc>
        <w:tc>
          <w:tcPr>
            <w:tcW w:w="990" w:type="dxa"/>
          </w:tcPr>
          <w:p w14:paraId="19FBB18F" w14:textId="77777777" w:rsidR="00F503AD" w:rsidRPr="00E45FD9" w:rsidRDefault="00F503AD" w:rsidP="004E6C69">
            <w:pPr>
              <w:rPr>
                <w:sz w:val="20"/>
                <w:szCs w:val="20"/>
              </w:rPr>
            </w:pPr>
            <w:r w:rsidRPr="00E45FD9">
              <w:rPr>
                <w:sz w:val="20"/>
                <w:szCs w:val="20"/>
              </w:rPr>
              <w:lastRenderedPageBreak/>
              <w:t>3</w:t>
            </w:r>
          </w:p>
        </w:tc>
      </w:tr>
      <w:tr w:rsidR="00F503AD" w:rsidRPr="00E45FD9" w14:paraId="412D610D" w14:textId="77777777" w:rsidTr="001C2302">
        <w:tc>
          <w:tcPr>
            <w:tcW w:w="1241" w:type="dxa"/>
          </w:tcPr>
          <w:p w14:paraId="47F3DAC7" w14:textId="72121091" w:rsidR="00F503AD" w:rsidRPr="00E45FD9" w:rsidRDefault="00AB7CCF" w:rsidP="004E6C69">
            <w:pPr>
              <w:rPr>
                <w:sz w:val="20"/>
                <w:szCs w:val="20"/>
              </w:rPr>
            </w:pPr>
            <w:r>
              <w:rPr>
                <w:sz w:val="20"/>
                <w:szCs w:val="20"/>
              </w:rPr>
              <w:t>STA 6</w:t>
            </w:r>
            <w:r w:rsidR="007C1597">
              <w:rPr>
                <w:sz w:val="20"/>
                <w:szCs w:val="20"/>
              </w:rPr>
              <w:t>91</w:t>
            </w:r>
          </w:p>
        </w:tc>
        <w:tc>
          <w:tcPr>
            <w:tcW w:w="2467" w:type="dxa"/>
          </w:tcPr>
          <w:p w14:paraId="711CEF70" w14:textId="6EE978EC" w:rsidR="00F503AD" w:rsidRPr="0011071E" w:rsidRDefault="007C1597" w:rsidP="004E6C69">
            <w:pPr>
              <w:rPr>
                <w:sz w:val="20"/>
                <w:szCs w:val="20"/>
              </w:rPr>
            </w:pPr>
            <w:r w:rsidRPr="0011071E">
              <w:rPr>
                <w:noProof/>
                <w:sz w:val="20"/>
                <w:szCs w:val="20"/>
              </w:rPr>
              <w:t>Statistics for Scientists I</w:t>
            </w:r>
          </w:p>
        </w:tc>
        <w:tc>
          <w:tcPr>
            <w:tcW w:w="4567" w:type="dxa"/>
          </w:tcPr>
          <w:p w14:paraId="7E1A9225" w14:textId="78CC8425" w:rsidR="00F503AD" w:rsidRPr="00C43362" w:rsidRDefault="00C43362" w:rsidP="004E6C69">
            <w:pPr>
              <w:rPr>
                <w:sz w:val="20"/>
                <w:szCs w:val="20"/>
              </w:rPr>
            </w:pPr>
            <w:r w:rsidRPr="00C43362">
              <w:rPr>
                <w:sz w:val="20"/>
                <w:szCs w:val="20"/>
              </w:rPr>
              <w:t>Frequency distributions, descriptive statistics, elementary probability; Bernoulli, binomial, and normal distributions; statistical sampling, estimation, and hypothesis testing.</w:t>
            </w:r>
          </w:p>
        </w:tc>
        <w:tc>
          <w:tcPr>
            <w:tcW w:w="990" w:type="dxa"/>
          </w:tcPr>
          <w:p w14:paraId="5C659C63" w14:textId="363C2F18" w:rsidR="00F503AD" w:rsidRPr="00E45FD9" w:rsidRDefault="00F503AD" w:rsidP="004E6C69">
            <w:pPr>
              <w:rPr>
                <w:sz w:val="20"/>
                <w:szCs w:val="20"/>
              </w:rPr>
            </w:pPr>
            <w:r w:rsidRPr="00E45FD9">
              <w:rPr>
                <w:sz w:val="20"/>
                <w:szCs w:val="20"/>
              </w:rPr>
              <w:t>3</w:t>
            </w:r>
          </w:p>
        </w:tc>
      </w:tr>
      <w:tr w:rsidR="00F503AD" w:rsidRPr="00E45FD9" w14:paraId="22BCD2C3" w14:textId="77777777" w:rsidTr="001C2302">
        <w:tc>
          <w:tcPr>
            <w:tcW w:w="1241" w:type="dxa"/>
          </w:tcPr>
          <w:p w14:paraId="658AEA2C" w14:textId="2E688C19" w:rsidR="00F503AD" w:rsidRPr="00E45FD9" w:rsidRDefault="00AB7CCF" w:rsidP="004E6C69">
            <w:pPr>
              <w:rPr>
                <w:sz w:val="20"/>
                <w:szCs w:val="20"/>
              </w:rPr>
            </w:pPr>
            <w:r>
              <w:rPr>
                <w:sz w:val="20"/>
                <w:szCs w:val="20"/>
              </w:rPr>
              <w:t xml:space="preserve">STA </w:t>
            </w:r>
            <w:r w:rsidR="007C1597">
              <w:rPr>
                <w:sz w:val="20"/>
                <w:szCs w:val="20"/>
              </w:rPr>
              <w:t>692</w:t>
            </w:r>
          </w:p>
        </w:tc>
        <w:tc>
          <w:tcPr>
            <w:tcW w:w="2467" w:type="dxa"/>
          </w:tcPr>
          <w:p w14:paraId="1D468FED" w14:textId="79CB57AD" w:rsidR="00F503AD" w:rsidRPr="0011071E" w:rsidRDefault="007C1597" w:rsidP="004E6C69">
            <w:pPr>
              <w:rPr>
                <w:sz w:val="20"/>
                <w:szCs w:val="20"/>
              </w:rPr>
            </w:pPr>
            <w:r w:rsidRPr="0011071E">
              <w:rPr>
                <w:noProof/>
                <w:sz w:val="20"/>
                <w:szCs w:val="20"/>
              </w:rPr>
              <w:t>Statistics for Scientists I</w:t>
            </w:r>
            <w:r w:rsidR="0011071E" w:rsidRPr="0011071E">
              <w:rPr>
                <w:noProof/>
                <w:sz w:val="20"/>
                <w:szCs w:val="20"/>
              </w:rPr>
              <w:t>I</w:t>
            </w:r>
          </w:p>
        </w:tc>
        <w:tc>
          <w:tcPr>
            <w:tcW w:w="4567" w:type="dxa"/>
          </w:tcPr>
          <w:p w14:paraId="370C26D4" w14:textId="49B7A76E" w:rsidR="00F503AD" w:rsidRPr="00C43362" w:rsidRDefault="00C43362" w:rsidP="00CD1AAF">
            <w:pPr>
              <w:rPr>
                <w:sz w:val="20"/>
                <w:szCs w:val="20"/>
              </w:rPr>
            </w:pPr>
            <w:r w:rsidRPr="00C43362">
              <w:rPr>
                <w:sz w:val="20"/>
                <w:szCs w:val="20"/>
              </w:rPr>
              <w:t>Chi-square tests for goodness-of-fit and independence, simple and multiple linear regression, designing an experiment (analysis of variance), multiple comparisons.</w:t>
            </w:r>
          </w:p>
        </w:tc>
        <w:tc>
          <w:tcPr>
            <w:tcW w:w="990" w:type="dxa"/>
          </w:tcPr>
          <w:p w14:paraId="683A618A" w14:textId="3DE77B25" w:rsidR="00F503AD" w:rsidRPr="00E45FD9" w:rsidRDefault="00F503AD" w:rsidP="004E6C69">
            <w:pPr>
              <w:rPr>
                <w:sz w:val="20"/>
                <w:szCs w:val="20"/>
              </w:rPr>
            </w:pPr>
            <w:r w:rsidRPr="00E45FD9">
              <w:rPr>
                <w:sz w:val="20"/>
                <w:szCs w:val="20"/>
              </w:rPr>
              <w:t>3</w:t>
            </w:r>
          </w:p>
        </w:tc>
      </w:tr>
      <w:tr w:rsidR="00F503AD" w:rsidRPr="00E45FD9" w14:paraId="6AC86918" w14:textId="77777777" w:rsidTr="001C2302">
        <w:tc>
          <w:tcPr>
            <w:tcW w:w="1241" w:type="dxa"/>
          </w:tcPr>
          <w:p w14:paraId="2893B0FC" w14:textId="05ED7F91" w:rsidR="00F503AD" w:rsidRPr="00E45FD9" w:rsidRDefault="00AB7CCF" w:rsidP="004E6C69">
            <w:pPr>
              <w:rPr>
                <w:sz w:val="20"/>
                <w:szCs w:val="20"/>
              </w:rPr>
            </w:pPr>
            <w:r>
              <w:rPr>
                <w:sz w:val="20"/>
                <w:szCs w:val="20"/>
              </w:rPr>
              <w:t>MIS 761</w:t>
            </w:r>
          </w:p>
        </w:tc>
        <w:tc>
          <w:tcPr>
            <w:tcW w:w="2467" w:type="dxa"/>
          </w:tcPr>
          <w:p w14:paraId="44F976AF" w14:textId="68A5A184" w:rsidR="00F503AD" w:rsidRPr="0011071E" w:rsidRDefault="007C1597" w:rsidP="00E61B95">
            <w:pPr>
              <w:rPr>
                <w:sz w:val="20"/>
                <w:szCs w:val="20"/>
              </w:rPr>
            </w:pPr>
            <w:r w:rsidRPr="0011071E">
              <w:rPr>
                <w:noProof/>
                <w:sz w:val="20"/>
                <w:szCs w:val="20"/>
              </w:rPr>
              <w:t>Business Analytics Methods and Tools</w:t>
            </w:r>
          </w:p>
        </w:tc>
        <w:tc>
          <w:tcPr>
            <w:tcW w:w="4567" w:type="dxa"/>
          </w:tcPr>
          <w:p w14:paraId="314AE7D3" w14:textId="00930B7A" w:rsidR="000F6074" w:rsidRPr="00F82C71" w:rsidRDefault="00F82C71" w:rsidP="00950E31">
            <w:pPr>
              <w:rPr>
                <w:sz w:val="20"/>
                <w:szCs w:val="20"/>
              </w:rPr>
            </w:pPr>
            <w:r w:rsidRPr="00F82C71">
              <w:rPr>
                <w:rStyle w:val="field-content"/>
                <w:sz w:val="20"/>
                <w:szCs w:val="20"/>
              </w:rPr>
              <w:t xml:space="preserve">Explores how data analytics relates to the scientific method, and then employs advanced statistical techniques for the contemporary analysis of organizational data. Taking an analytical approach, the applicability of </w:t>
            </w:r>
            <w:proofErr w:type="gramStart"/>
            <w:r w:rsidRPr="00F82C71">
              <w:rPr>
                <w:rStyle w:val="field-content"/>
                <w:sz w:val="20"/>
                <w:szCs w:val="20"/>
              </w:rPr>
              <w:t>particular statistical</w:t>
            </w:r>
            <w:proofErr w:type="gramEnd"/>
            <w:r w:rsidRPr="00F82C71">
              <w:rPr>
                <w:rStyle w:val="field-content"/>
                <w:sz w:val="20"/>
                <w:szCs w:val="20"/>
              </w:rPr>
              <w:t xml:space="preserve"> approaches/packages for gaining a business understanding in specific settings will be examined.</w:t>
            </w:r>
          </w:p>
        </w:tc>
        <w:tc>
          <w:tcPr>
            <w:tcW w:w="990" w:type="dxa"/>
          </w:tcPr>
          <w:p w14:paraId="21AC51BC" w14:textId="746C0298" w:rsidR="00F503AD" w:rsidRPr="00E45FD9" w:rsidRDefault="00F503AD" w:rsidP="004E6C69">
            <w:pPr>
              <w:rPr>
                <w:sz w:val="20"/>
                <w:szCs w:val="20"/>
              </w:rPr>
            </w:pPr>
            <w:r w:rsidRPr="00E45FD9">
              <w:rPr>
                <w:sz w:val="20"/>
                <w:szCs w:val="20"/>
              </w:rPr>
              <w:t>3</w:t>
            </w:r>
          </w:p>
        </w:tc>
      </w:tr>
      <w:tr w:rsidR="00F503AD" w:rsidRPr="00E45FD9" w14:paraId="65A436D5" w14:textId="77777777" w:rsidTr="00AB7CCF">
        <w:trPr>
          <w:trHeight w:val="485"/>
        </w:trPr>
        <w:tc>
          <w:tcPr>
            <w:tcW w:w="1241" w:type="dxa"/>
          </w:tcPr>
          <w:p w14:paraId="21081ADE" w14:textId="3339D4B5" w:rsidR="00F503AD" w:rsidRPr="00E45FD9" w:rsidRDefault="00AB7CCF" w:rsidP="004E6C69">
            <w:pPr>
              <w:rPr>
                <w:sz w:val="20"/>
                <w:szCs w:val="20"/>
              </w:rPr>
            </w:pPr>
            <w:r>
              <w:rPr>
                <w:sz w:val="20"/>
                <w:szCs w:val="20"/>
              </w:rPr>
              <w:t>MIS 769</w:t>
            </w:r>
          </w:p>
        </w:tc>
        <w:tc>
          <w:tcPr>
            <w:tcW w:w="2467" w:type="dxa"/>
          </w:tcPr>
          <w:p w14:paraId="5DCE6730" w14:textId="77777777" w:rsidR="007C1597" w:rsidRPr="0011071E" w:rsidRDefault="007C1597" w:rsidP="0011071E">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noProof/>
                <w:sz w:val="20"/>
                <w:szCs w:val="20"/>
              </w:rPr>
            </w:pPr>
            <w:r w:rsidRPr="0011071E">
              <w:rPr>
                <w:noProof/>
                <w:sz w:val="20"/>
                <w:szCs w:val="20"/>
              </w:rPr>
              <w:t>Big Data Analytics for Business</w:t>
            </w:r>
          </w:p>
          <w:p w14:paraId="4EFB8ADE" w14:textId="77F573F7" w:rsidR="00F503AD" w:rsidRPr="00E45FD9" w:rsidRDefault="00F503AD" w:rsidP="004E6C69">
            <w:pPr>
              <w:rPr>
                <w:sz w:val="20"/>
                <w:szCs w:val="20"/>
              </w:rPr>
            </w:pPr>
          </w:p>
        </w:tc>
        <w:tc>
          <w:tcPr>
            <w:tcW w:w="4567" w:type="dxa"/>
          </w:tcPr>
          <w:p w14:paraId="230B46C9" w14:textId="242ECEA9" w:rsidR="00F503AD" w:rsidRPr="00A941A5" w:rsidRDefault="00A941A5" w:rsidP="004E6C69">
            <w:pPr>
              <w:rPr>
                <w:sz w:val="20"/>
                <w:szCs w:val="20"/>
              </w:rPr>
            </w:pPr>
            <w:r w:rsidRPr="00A941A5">
              <w:rPr>
                <w:rStyle w:val="field-content"/>
                <w:sz w:val="20"/>
                <w:szCs w:val="20"/>
              </w:rPr>
              <w:t xml:space="preserve">Focuses on big data analytics concepts, </w:t>
            </w:r>
            <w:proofErr w:type="gramStart"/>
            <w:r w:rsidRPr="00A941A5">
              <w:rPr>
                <w:rStyle w:val="field-content"/>
                <w:sz w:val="20"/>
                <w:szCs w:val="20"/>
              </w:rPr>
              <w:t>tools</w:t>
            </w:r>
            <w:proofErr w:type="gramEnd"/>
            <w:r w:rsidRPr="00A941A5">
              <w:rPr>
                <w:rStyle w:val="field-content"/>
                <w:sz w:val="20"/>
                <w:szCs w:val="20"/>
              </w:rPr>
              <w:t xml:space="preserve"> and methods within the business environment. Explores big data principles and information technology innovation in organizations. Includes multiple tools and statistical concepts related to the contemporary analysis of big data.</w:t>
            </w:r>
          </w:p>
        </w:tc>
        <w:tc>
          <w:tcPr>
            <w:tcW w:w="990" w:type="dxa"/>
          </w:tcPr>
          <w:p w14:paraId="02A74239" w14:textId="747F2A73" w:rsidR="00F503AD" w:rsidRPr="00E45FD9" w:rsidRDefault="00F503AD" w:rsidP="004E6C69">
            <w:pPr>
              <w:rPr>
                <w:sz w:val="20"/>
                <w:szCs w:val="20"/>
              </w:rPr>
            </w:pPr>
            <w:r w:rsidRPr="00E45FD9">
              <w:rPr>
                <w:sz w:val="20"/>
                <w:szCs w:val="20"/>
              </w:rPr>
              <w:t>6</w:t>
            </w:r>
          </w:p>
        </w:tc>
      </w:tr>
      <w:tr w:rsidR="00D65A92" w:rsidRPr="00E45FD9" w14:paraId="0FDF216E" w14:textId="77777777" w:rsidTr="00AB7CCF">
        <w:trPr>
          <w:trHeight w:val="485"/>
        </w:trPr>
        <w:tc>
          <w:tcPr>
            <w:tcW w:w="1241" w:type="dxa"/>
          </w:tcPr>
          <w:p w14:paraId="52975E54" w14:textId="3E6A6164" w:rsidR="00D65A92" w:rsidRDefault="00D65A92" w:rsidP="004E6C69">
            <w:pPr>
              <w:rPr>
                <w:sz w:val="20"/>
                <w:szCs w:val="20"/>
              </w:rPr>
            </w:pPr>
            <w:r>
              <w:rPr>
                <w:sz w:val="20"/>
                <w:szCs w:val="20"/>
              </w:rPr>
              <w:t>MIS 776</w:t>
            </w:r>
          </w:p>
        </w:tc>
        <w:tc>
          <w:tcPr>
            <w:tcW w:w="2467" w:type="dxa"/>
          </w:tcPr>
          <w:p w14:paraId="140A959C" w14:textId="73765E5F" w:rsidR="00D65A92" w:rsidRPr="0011071E" w:rsidRDefault="0011071E" w:rsidP="004E6C69">
            <w:pPr>
              <w:rPr>
                <w:sz w:val="20"/>
                <w:szCs w:val="20"/>
              </w:rPr>
            </w:pPr>
            <w:r w:rsidRPr="0011071E">
              <w:rPr>
                <w:noProof/>
                <w:sz w:val="20"/>
                <w:szCs w:val="20"/>
              </w:rPr>
              <w:t>Business Intelligence</w:t>
            </w:r>
          </w:p>
        </w:tc>
        <w:tc>
          <w:tcPr>
            <w:tcW w:w="4567" w:type="dxa"/>
          </w:tcPr>
          <w:p w14:paraId="751A3405" w14:textId="64806385" w:rsidR="00D65A92" w:rsidRPr="00664507" w:rsidRDefault="00664507" w:rsidP="004E6C69">
            <w:pPr>
              <w:rPr>
                <w:sz w:val="20"/>
                <w:szCs w:val="20"/>
              </w:rPr>
            </w:pPr>
            <w:r w:rsidRPr="00664507">
              <w:rPr>
                <w:rStyle w:val="field-content"/>
                <w:sz w:val="20"/>
                <w:szCs w:val="20"/>
              </w:rPr>
              <w:t>Business intelligence refers to the set of technologies and tools that enable organizations to integrate, store, analyze, and report data for the purpose of obtaining competitive advantage. Students will be exposed to key components of business intelligence applications, including defining data structure, analyzing cubes, data mining, and reporting.</w:t>
            </w:r>
          </w:p>
        </w:tc>
        <w:tc>
          <w:tcPr>
            <w:tcW w:w="990" w:type="dxa"/>
          </w:tcPr>
          <w:p w14:paraId="094AA66C" w14:textId="77777777" w:rsidR="00D65A92" w:rsidRPr="00E45FD9" w:rsidRDefault="00D65A92" w:rsidP="004E6C69">
            <w:pPr>
              <w:rPr>
                <w:sz w:val="20"/>
                <w:szCs w:val="20"/>
              </w:rPr>
            </w:pPr>
          </w:p>
        </w:tc>
      </w:tr>
    </w:tbl>
    <w:p w14:paraId="61823C06" w14:textId="7062F4C8" w:rsidR="0019487D" w:rsidRDefault="0019487D"/>
    <w:p w14:paraId="1F558542" w14:textId="39992AFA" w:rsidR="007C1597" w:rsidRDefault="007C1597">
      <w:r>
        <w:t>Note: STA 691 and STA 692 can be replaced with a sequence of discipline specific statistical courses. These include (HOA 730, HOA 732), (EAB 780, EAB 783), and any other graduate level sequence of statistical courses.</w:t>
      </w:r>
    </w:p>
    <w:p w14:paraId="485AD60D" w14:textId="77777777" w:rsidR="007C1597" w:rsidRDefault="007C1597"/>
    <w:p w14:paraId="5C4589D8" w14:textId="2098E0E2" w:rsidR="00EF758F" w:rsidRDefault="00EF758F">
      <w:pPr>
        <w:rPr>
          <w:b/>
        </w:rPr>
      </w:pPr>
      <w:r>
        <w:rPr>
          <w:b/>
        </w:rPr>
        <w:t>Electives</w:t>
      </w:r>
      <w:r w:rsidR="00750286">
        <w:rPr>
          <w:b/>
        </w:rPr>
        <w:t>—</w:t>
      </w:r>
      <w:r w:rsidR="009F62A7">
        <w:rPr>
          <w:b/>
        </w:rPr>
        <w:t xml:space="preserve">9 </w:t>
      </w:r>
      <w:r w:rsidR="00750286">
        <w:rPr>
          <w:b/>
        </w:rPr>
        <w:t>Credits</w:t>
      </w:r>
    </w:p>
    <w:tbl>
      <w:tblPr>
        <w:tblStyle w:val="TableGrid"/>
        <w:tblW w:w="9265" w:type="dxa"/>
        <w:tblLook w:val="04A0" w:firstRow="1" w:lastRow="0" w:firstColumn="1" w:lastColumn="0" w:noHBand="0" w:noVBand="1"/>
      </w:tblPr>
      <w:tblGrid>
        <w:gridCol w:w="1241"/>
        <w:gridCol w:w="2467"/>
        <w:gridCol w:w="4567"/>
        <w:gridCol w:w="990"/>
      </w:tblGrid>
      <w:tr w:rsidR="0019487D" w:rsidRPr="00E45FD9" w14:paraId="1962AD59" w14:textId="77777777" w:rsidTr="00190F22">
        <w:tc>
          <w:tcPr>
            <w:tcW w:w="1241" w:type="dxa"/>
          </w:tcPr>
          <w:p w14:paraId="72C6113C" w14:textId="452865DE" w:rsidR="00EF758F" w:rsidRPr="00E45FD9" w:rsidRDefault="00EF758F" w:rsidP="004E6C69">
            <w:pPr>
              <w:rPr>
                <w:b/>
                <w:sz w:val="20"/>
                <w:szCs w:val="20"/>
              </w:rPr>
            </w:pPr>
            <w:r w:rsidRPr="00E45FD9">
              <w:rPr>
                <w:b/>
                <w:sz w:val="20"/>
                <w:szCs w:val="20"/>
              </w:rPr>
              <w:t>Course</w:t>
            </w:r>
            <w:r w:rsidR="009F62A7">
              <w:rPr>
                <w:b/>
                <w:sz w:val="20"/>
                <w:szCs w:val="20"/>
              </w:rPr>
              <w:t>s</w:t>
            </w:r>
          </w:p>
        </w:tc>
        <w:tc>
          <w:tcPr>
            <w:tcW w:w="2467" w:type="dxa"/>
          </w:tcPr>
          <w:p w14:paraId="33902EF9" w14:textId="77777777" w:rsidR="00EF758F" w:rsidRPr="00E45FD9" w:rsidRDefault="00EF758F" w:rsidP="004E6C69">
            <w:pPr>
              <w:rPr>
                <w:b/>
                <w:sz w:val="20"/>
                <w:szCs w:val="20"/>
              </w:rPr>
            </w:pPr>
            <w:r w:rsidRPr="00E45FD9">
              <w:rPr>
                <w:b/>
                <w:sz w:val="20"/>
                <w:szCs w:val="20"/>
              </w:rPr>
              <w:t>Course Title</w:t>
            </w:r>
          </w:p>
        </w:tc>
        <w:tc>
          <w:tcPr>
            <w:tcW w:w="4567" w:type="dxa"/>
          </w:tcPr>
          <w:p w14:paraId="3D66C9D1" w14:textId="77777777" w:rsidR="00EF758F" w:rsidRPr="00E45FD9" w:rsidRDefault="00EF758F" w:rsidP="004E6C69">
            <w:pPr>
              <w:rPr>
                <w:b/>
                <w:sz w:val="20"/>
                <w:szCs w:val="20"/>
              </w:rPr>
            </w:pPr>
            <w:r w:rsidRPr="00E45FD9">
              <w:rPr>
                <w:b/>
                <w:sz w:val="20"/>
                <w:szCs w:val="20"/>
              </w:rPr>
              <w:t xml:space="preserve">Description </w:t>
            </w:r>
          </w:p>
        </w:tc>
        <w:tc>
          <w:tcPr>
            <w:tcW w:w="990" w:type="dxa"/>
          </w:tcPr>
          <w:p w14:paraId="2B593C15" w14:textId="77777777" w:rsidR="00EF758F" w:rsidRPr="00E45FD9" w:rsidRDefault="00EF758F" w:rsidP="004E6C69">
            <w:pPr>
              <w:rPr>
                <w:b/>
                <w:sz w:val="20"/>
                <w:szCs w:val="20"/>
              </w:rPr>
            </w:pPr>
            <w:r w:rsidRPr="00E45FD9">
              <w:rPr>
                <w:b/>
                <w:sz w:val="20"/>
                <w:szCs w:val="20"/>
              </w:rPr>
              <w:t>Credits</w:t>
            </w:r>
          </w:p>
        </w:tc>
      </w:tr>
      <w:tr w:rsidR="0017471D" w:rsidRPr="00E45FD9" w14:paraId="0B04A1D3" w14:textId="77777777" w:rsidTr="00190F22">
        <w:tc>
          <w:tcPr>
            <w:tcW w:w="1241" w:type="dxa"/>
          </w:tcPr>
          <w:p w14:paraId="4D95B4BD" w14:textId="2BB95FBE" w:rsidR="0017471D" w:rsidRPr="00E45FD9" w:rsidRDefault="009F62A7" w:rsidP="00670048">
            <w:pPr>
              <w:rPr>
                <w:sz w:val="20"/>
                <w:szCs w:val="20"/>
              </w:rPr>
            </w:pPr>
            <w:r>
              <w:rPr>
                <w:sz w:val="20"/>
                <w:szCs w:val="20"/>
              </w:rPr>
              <w:t>Advisor Approved</w:t>
            </w:r>
          </w:p>
        </w:tc>
        <w:tc>
          <w:tcPr>
            <w:tcW w:w="2467" w:type="dxa"/>
          </w:tcPr>
          <w:p w14:paraId="03438377" w14:textId="73FCEB6A" w:rsidR="0017471D" w:rsidRPr="00E45FD9" w:rsidRDefault="009F62A7" w:rsidP="0017471D">
            <w:pPr>
              <w:rPr>
                <w:sz w:val="20"/>
                <w:szCs w:val="20"/>
              </w:rPr>
            </w:pPr>
            <w:r>
              <w:rPr>
                <w:sz w:val="20"/>
                <w:szCs w:val="20"/>
              </w:rPr>
              <w:t>In Specific Discipline</w:t>
            </w:r>
          </w:p>
        </w:tc>
        <w:tc>
          <w:tcPr>
            <w:tcW w:w="4567" w:type="dxa"/>
          </w:tcPr>
          <w:p w14:paraId="501726AD" w14:textId="6DEDD605" w:rsidR="0017471D" w:rsidRPr="00E45FD9" w:rsidRDefault="009F62A7" w:rsidP="0017471D">
            <w:pPr>
              <w:rPr>
                <w:sz w:val="20"/>
                <w:szCs w:val="20"/>
              </w:rPr>
            </w:pPr>
            <w:r>
              <w:rPr>
                <w:sz w:val="20"/>
                <w:szCs w:val="20"/>
              </w:rPr>
              <w:t>Students will take three courses in a specific topic to prepare them for the final culminating experience class DA 790. These electives may be in hospitality, liberal arts, sciences, engineering, business, or health.</w:t>
            </w:r>
          </w:p>
        </w:tc>
        <w:tc>
          <w:tcPr>
            <w:tcW w:w="990" w:type="dxa"/>
          </w:tcPr>
          <w:p w14:paraId="23338867" w14:textId="1C1F8C49" w:rsidR="0017471D" w:rsidRPr="00E45FD9" w:rsidRDefault="009F62A7" w:rsidP="0017471D">
            <w:pPr>
              <w:rPr>
                <w:sz w:val="20"/>
                <w:szCs w:val="20"/>
              </w:rPr>
            </w:pPr>
            <w:r>
              <w:rPr>
                <w:sz w:val="20"/>
                <w:szCs w:val="20"/>
              </w:rPr>
              <w:t>9</w:t>
            </w:r>
          </w:p>
        </w:tc>
      </w:tr>
    </w:tbl>
    <w:p w14:paraId="2E1B9087" w14:textId="62FC7B5C" w:rsidR="00BF0EEA" w:rsidRDefault="00522BF6">
      <w:pPr>
        <w:rPr>
          <w:b/>
        </w:rPr>
      </w:pPr>
      <w:r>
        <w:rPr>
          <w:b/>
        </w:rPr>
        <w:t xml:space="preserve"> </w:t>
      </w:r>
    </w:p>
    <w:sectPr w:rsidR="00BF0EEA" w:rsidSect="00A9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MSS1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7DC"/>
    <w:multiLevelType w:val="hybridMultilevel"/>
    <w:tmpl w:val="1A92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07"/>
    <w:rsid w:val="000022D8"/>
    <w:rsid w:val="0006296F"/>
    <w:rsid w:val="000746A2"/>
    <w:rsid w:val="00087227"/>
    <w:rsid w:val="000A18F3"/>
    <w:rsid w:val="000A6DEE"/>
    <w:rsid w:val="000F6074"/>
    <w:rsid w:val="00105E26"/>
    <w:rsid w:val="0011071E"/>
    <w:rsid w:val="00110F33"/>
    <w:rsid w:val="00121601"/>
    <w:rsid w:val="0012358C"/>
    <w:rsid w:val="00127045"/>
    <w:rsid w:val="0017471D"/>
    <w:rsid w:val="00181315"/>
    <w:rsid w:val="0018587F"/>
    <w:rsid w:val="00190F22"/>
    <w:rsid w:val="0019487D"/>
    <w:rsid w:val="0019702F"/>
    <w:rsid w:val="001970E6"/>
    <w:rsid w:val="001B6CFF"/>
    <w:rsid w:val="001C2302"/>
    <w:rsid w:val="001E1DE0"/>
    <w:rsid w:val="00207AD0"/>
    <w:rsid w:val="0023271C"/>
    <w:rsid w:val="002621FD"/>
    <w:rsid w:val="0029499B"/>
    <w:rsid w:val="0029513D"/>
    <w:rsid w:val="002A68FC"/>
    <w:rsid w:val="002A7301"/>
    <w:rsid w:val="002B1087"/>
    <w:rsid w:val="002E0620"/>
    <w:rsid w:val="002E53A9"/>
    <w:rsid w:val="00312909"/>
    <w:rsid w:val="00315796"/>
    <w:rsid w:val="00316482"/>
    <w:rsid w:val="00333636"/>
    <w:rsid w:val="00337161"/>
    <w:rsid w:val="0034317C"/>
    <w:rsid w:val="00353EF7"/>
    <w:rsid w:val="00374610"/>
    <w:rsid w:val="00387620"/>
    <w:rsid w:val="003B05AE"/>
    <w:rsid w:val="003C0165"/>
    <w:rsid w:val="003C5CEC"/>
    <w:rsid w:val="003E436E"/>
    <w:rsid w:val="003E459D"/>
    <w:rsid w:val="004077E6"/>
    <w:rsid w:val="0045518D"/>
    <w:rsid w:val="004943EB"/>
    <w:rsid w:val="004B5324"/>
    <w:rsid w:val="004E6C69"/>
    <w:rsid w:val="004F018F"/>
    <w:rsid w:val="00505078"/>
    <w:rsid w:val="00522BF6"/>
    <w:rsid w:val="005533FE"/>
    <w:rsid w:val="005825DC"/>
    <w:rsid w:val="005D705D"/>
    <w:rsid w:val="00603402"/>
    <w:rsid w:val="00610E5F"/>
    <w:rsid w:val="006354E0"/>
    <w:rsid w:val="00664507"/>
    <w:rsid w:val="00670048"/>
    <w:rsid w:val="00674A07"/>
    <w:rsid w:val="0067671A"/>
    <w:rsid w:val="0068533E"/>
    <w:rsid w:val="0069021F"/>
    <w:rsid w:val="006A5EEF"/>
    <w:rsid w:val="0072611D"/>
    <w:rsid w:val="00733B75"/>
    <w:rsid w:val="0074187C"/>
    <w:rsid w:val="00750286"/>
    <w:rsid w:val="007514B9"/>
    <w:rsid w:val="00753320"/>
    <w:rsid w:val="00754100"/>
    <w:rsid w:val="007958B0"/>
    <w:rsid w:val="007C1597"/>
    <w:rsid w:val="007D13F7"/>
    <w:rsid w:val="007D29A3"/>
    <w:rsid w:val="007F24D6"/>
    <w:rsid w:val="00823A13"/>
    <w:rsid w:val="00831C83"/>
    <w:rsid w:val="00835C49"/>
    <w:rsid w:val="008403F8"/>
    <w:rsid w:val="008A2C75"/>
    <w:rsid w:val="008A4652"/>
    <w:rsid w:val="008A57E1"/>
    <w:rsid w:val="008C1CD8"/>
    <w:rsid w:val="008C4327"/>
    <w:rsid w:val="008C4DF5"/>
    <w:rsid w:val="008E1E8A"/>
    <w:rsid w:val="008E6199"/>
    <w:rsid w:val="00950E31"/>
    <w:rsid w:val="00951B37"/>
    <w:rsid w:val="00967DE7"/>
    <w:rsid w:val="0098703E"/>
    <w:rsid w:val="009B3D5C"/>
    <w:rsid w:val="009B7C68"/>
    <w:rsid w:val="009D2FCB"/>
    <w:rsid w:val="009F62A7"/>
    <w:rsid w:val="00A0779E"/>
    <w:rsid w:val="00A1105F"/>
    <w:rsid w:val="00A146B8"/>
    <w:rsid w:val="00A26355"/>
    <w:rsid w:val="00A45142"/>
    <w:rsid w:val="00A47F4F"/>
    <w:rsid w:val="00A52705"/>
    <w:rsid w:val="00A7347D"/>
    <w:rsid w:val="00A941A5"/>
    <w:rsid w:val="00A95DC8"/>
    <w:rsid w:val="00A96BA9"/>
    <w:rsid w:val="00A9748C"/>
    <w:rsid w:val="00AB2205"/>
    <w:rsid w:val="00AB7CCF"/>
    <w:rsid w:val="00AE7AA2"/>
    <w:rsid w:val="00AF2EC5"/>
    <w:rsid w:val="00AF5027"/>
    <w:rsid w:val="00B31445"/>
    <w:rsid w:val="00B41490"/>
    <w:rsid w:val="00B964EF"/>
    <w:rsid w:val="00BC5022"/>
    <w:rsid w:val="00BD572C"/>
    <w:rsid w:val="00BE1D18"/>
    <w:rsid w:val="00BF0EEA"/>
    <w:rsid w:val="00C04437"/>
    <w:rsid w:val="00C07929"/>
    <w:rsid w:val="00C43362"/>
    <w:rsid w:val="00C45F8C"/>
    <w:rsid w:val="00C702D6"/>
    <w:rsid w:val="00C71343"/>
    <w:rsid w:val="00C81FC7"/>
    <w:rsid w:val="00CB4AF2"/>
    <w:rsid w:val="00CC1158"/>
    <w:rsid w:val="00CC7B71"/>
    <w:rsid w:val="00CD1AAF"/>
    <w:rsid w:val="00CD31D9"/>
    <w:rsid w:val="00CD3653"/>
    <w:rsid w:val="00D0738E"/>
    <w:rsid w:val="00D25962"/>
    <w:rsid w:val="00D355D0"/>
    <w:rsid w:val="00D6048F"/>
    <w:rsid w:val="00D65A92"/>
    <w:rsid w:val="00DA22C1"/>
    <w:rsid w:val="00DA2DC1"/>
    <w:rsid w:val="00DB0339"/>
    <w:rsid w:val="00DC6CA4"/>
    <w:rsid w:val="00E07DA4"/>
    <w:rsid w:val="00E1399B"/>
    <w:rsid w:val="00E1797D"/>
    <w:rsid w:val="00E225AF"/>
    <w:rsid w:val="00E45FD9"/>
    <w:rsid w:val="00E61B95"/>
    <w:rsid w:val="00E657F6"/>
    <w:rsid w:val="00E80858"/>
    <w:rsid w:val="00E90CCF"/>
    <w:rsid w:val="00E95F5B"/>
    <w:rsid w:val="00EA22D8"/>
    <w:rsid w:val="00EA7A30"/>
    <w:rsid w:val="00EF758F"/>
    <w:rsid w:val="00F0663F"/>
    <w:rsid w:val="00F30B3F"/>
    <w:rsid w:val="00F3288C"/>
    <w:rsid w:val="00F503AD"/>
    <w:rsid w:val="00F63634"/>
    <w:rsid w:val="00F7448B"/>
    <w:rsid w:val="00F82C71"/>
    <w:rsid w:val="00FD2967"/>
    <w:rsid w:val="00FD409E"/>
    <w:rsid w:val="00FE16D3"/>
    <w:rsid w:val="00FE7128"/>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FC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0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0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5078"/>
    <w:rPr>
      <w:color w:val="0563C1" w:themeColor="hyperlink"/>
      <w:u w:val="single"/>
    </w:rPr>
  </w:style>
  <w:style w:type="paragraph" w:styleId="ListParagraph">
    <w:name w:val="List Paragraph"/>
    <w:basedOn w:val="Normal"/>
    <w:uiPriority w:val="34"/>
    <w:qFormat/>
    <w:rsid w:val="00505078"/>
    <w:pPr>
      <w:ind w:left="720"/>
      <w:contextualSpacing/>
    </w:pPr>
  </w:style>
  <w:style w:type="character" w:styleId="CommentReference">
    <w:name w:val="annotation reference"/>
    <w:basedOn w:val="DefaultParagraphFont"/>
    <w:uiPriority w:val="99"/>
    <w:semiHidden/>
    <w:unhideWhenUsed/>
    <w:rsid w:val="00A0779E"/>
    <w:rPr>
      <w:sz w:val="18"/>
      <w:szCs w:val="18"/>
    </w:rPr>
  </w:style>
  <w:style w:type="paragraph" w:styleId="CommentText">
    <w:name w:val="annotation text"/>
    <w:basedOn w:val="Normal"/>
    <w:link w:val="CommentTextChar"/>
    <w:uiPriority w:val="99"/>
    <w:semiHidden/>
    <w:unhideWhenUsed/>
    <w:rsid w:val="00A0779E"/>
  </w:style>
  <w:style w:type="character" w:customStyle="1" w:styleId="CommentTextChar">
    <w:name w:val="Comment Text Char"/>
    <w:basedOn w:val="DefaultParagraphFont"/>
    <w:link w:val="CommentText"/>
    <w:uiPriority w:val="99"/>
    <w:semiHidden/>
    <w:rsid w:val="00A0779E"/>
  </w:style>
  <w:style w:type="paragraph" w:styleId="CommentSubject">
    <w:name w:val="annotation subject"/>
    <w:basedOn w:val="CommentText"/>
    <w:next w:val="CommentText"/>
    <w:link w:val="CommentSubjectChar"/>
    <w:uiPriority w:val="99"/>
    <w:semiHidden/>
    <w:unhideWhenUsed/>
    <w:rsid w:val="00A0779E"/>
    <w:rPr>
      <w:b/>
      <w:bCs/>
      <w:sz w:val="20"/>
      <w:szCs w:val="20"/>
    </w:rPr>
  </w:style>
  <w:style w:type="character" w:customStyle="1" w:styleId="CommentSubjectChar">
    <w:name w:val="Comment Subject Char"/>
    <w:basedOn w:val="CommentTextChar"/>
    <w:link w:val="CommentSubject"/>
    <w:uiPriority w:val="99"/>
    <w:semiHidden/>
    <w:rsid w:val="00A0779E"/>
    <w:rPr>
      <w:b/>
      <w:bCs/>
      <w:sz w:val="20"/>
      <w:szCs w:val="20"/>
    </w:rPr>
  </w:style>
  <w:style w:type="paragraph" w:styleId="BalloonText">
    <w:name w:val="Balloon Text"/>
    <w:basedOn w:val="Normal"/>
    <w:link w:val="BalloonTextChar"/>
    <w:uiPriority w:val="99"/>
    <w:semiHidden/>
    <w:unhideWhenUsed/>
    <w:rsid w:val="00A077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79E"/>
    <w:rPr>
      <w:rFonts w:ascii="Times New Roman" w:hAnsi="Times New Roman" w:cs="Times New Roman"/>
      <w:sz w:val="18"/>
      <w:szCs w:val="18"/>
    </w:rPr>
  </w:style>
  <w:style w:type="character" w:customStyle="1" w:styleId="field-content">
    <w:name w:val="field-content"/>
    <w:basedOn w:val="DefaultParagraphFont"/>
    <w:rsid w:val="00A9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Moody</dc:creator>
  <cp:keywords/>
  <dc:description/>
  <cp:lastModifiedBy>Kazem Taghva</cp:lastModifiedBy>
  <cp:revision>21</cp:revision>
  <dcterms:created xsi:type="dcterms:W3CDTF">2021-01-16T03:00:00Z</dcterms:created>
  <dcterms:modified xsi:type="dcterms:W3CDTF">2021-01-16T14:44:00Z</dcterms:modified>
</cp:coreProperties>
</file>